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62D4B7A9" w:rsidR="00E733FF" w:rsidRDefault="00E733FF"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r>
        <w:rPr>
          <w:rFonts w:ascii="Arial" w:hAnsi="Arial" w:cs="Arial"/>
          <w:b/>
          <w:bCs/>
          <w:kern w:val="0"/>
          <w:sz w:val="24"/>
          <w:lang w:val="en-GB"/>
        </w:rPr>
        <w:t>3GPP</w:t>
      </w:r>
      <w:proofErr w:type="spellEnd"/>
      <w:r>
        <w:rPr>
          <w:rFonts w:ascii="Arial" w:hAnsi="Arial" w:cs="Arial"/>
          <w:b/>
          <w:bCs/>
          <w:kern w:val="0"/>
          <w:sz w:val="24"/>
          <w:lang w:val="en-GB"/>
        </w:rPr>
        <w:t xml:space="preserve"> </w:t>
      </w:r>
      <w:proofErr w:type="spellStart"/>
      <w:r>
        <w:rPr>
          <w:rFonts w:ascii="Arial" w:hAnsi="Arial" w:cs="Arial"/>
          <w:b/>
          <w:bCs/>
          <w:kern w:val="0"/>
          <w:sz w:val="24"/>
          <w:lang w:val="en-GB"/>
        </w:rPr>
        <w:t>TSG</w:t>
      </w:r>
      <w:proofErr w:type="spellEnd"/>
      <w:r>
        <w:rPr>
          <w:rFonts w:ascii="Arial" w:hAnsi="Arial" w:cs="Arial"/>
          <w:b/>
          <w:bCs/>
          <w:kern w:val="0"/>
          <w:sz w:val="24"/>
          <w:lang w:val="en-GB"/>
        </w:rPr>
        <w:t xml:space="preserve">-RAN </w:t>
      </w:r>
      <w:proofErr w:type="spellStart"/>
      <w:r>
        <w:rPr>
          <w:rFonts w:ascii="Arial" w:hAnsi="Arial" w:cs="Arial"/>
          <w:b/>
          <w:bCs/>
          <w:kern w:val="0"/>
          <w:sz w:val="24"/>
          <w:lang w:val="en-GB"/>
        </w:rPr>
        <w:t>WG2</w:t>
      </w:r>
      <w:proofErr w:type="spellEnd"/>
      <w:r>
        <w:rPr>
          <w:rFonts w:ascii="Arial" w:hAnsi="Arial" w:cs="Arial"/>
          <w:b/>
          <w:bCs/>
          <w:kern w:val="0"/>
          <w:sz w:val="24"/>
          <w:lang w:val="en-GB"/>
        </w:rPr>
        <w:t xml:space="preserve"> Meeting #</w:t>
      </w:r>
      <w:r>
        <w:rPr>
          <w:rFonts w:ascii="Arial" w:hAnsi="Arial" w:cs="Arial" w:hint="eastAsia"/>
          <w:b/>
          <w:bCs/>
          <w:kern w:val="0"/>
          <w:sz w:val="24"/>
        </w:rPr>
        <w:t>10</w:t>
      </w:r>
      <w:r>
        <w:rPr>
          <w:rFonts w:ascii="Arial" w:hAnsi="Arial" w:cs="Arial"/>
          <w:b/>
          <w:bCs/>
          <w:kern w:val="0"/>
          <w:sz w:val="24"/>
        </w:rPr>
        <w:t>7</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proofErr w:type="spellStart"/>
      <w:r>
        <w:rPr>
          <w:rFonts w:ascii="Arial" w:hAnsi="Arial" w:cs="Arial" w:hint="eastAsia"/>
          <w:b/>
          <w:bCs/>
          <w:kern w:val="0"/>
          <w:sz w:val="24"/>
          <w:lang w:val="en-GB"/>
        </w:rPr>
        <w:t>R2</w:t>
      </w:r>
      <w:proofErr w:type="spellEnd"/>
      <w:r>
        <w:rPr>
          <w:rFonts w:ascii="Arial" w:hAnsi="Arial" w:cs="Arial" w:hint="eastAsia"/>
          <w:b/>
          <w:bCs/>
          <w:kern w:val="0"/>
          <w:sz w:val="24"/>
          <w:lang w:val="en-GB"/>
        </w:rPr>
        <w:t>-1</w:t>
      </w:r>
      <w:r>
        <w:rPr>
          <w:rFonts w:ascii="Arial" w:hAnsi="Arial" w:cs="Arial"/>
          <w:b/>
          <w:bCs/>
          <w:kern w:val="0"/>
          <w:sz w:val="24"/>
        </w:rPr>
        <w:t>9</w:t>
      </w:r>
      <w:r w:rsidR="008E00BE">
        <w:rPr>
          <w:rFonts w:ascii="Arial" w:hAnsi="Arial" w:cs="Arial"/>
          <w:b/>
          <w:bCs/>
          <w:kern w:val="0"/>
          <w:sz w:val="24"/>
        </w:rPr>
        <w:t>09798</w:t>
      </w:r>
    </w:p>
    <w:p w14:paraId="0F082A23" w14:textId="1AD5C6B3" w:rsidR="00E733FF" w:rsidRPr="00E733FF" w:rsidRDefault="00E733FF">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Prague</w:t>
      </w:r>
      <w:r>
        <w:rPr>
          <w:rFonts w:ascii="Arial" w:hAnsi="Arial" w:cs="Arial"/>
          <w:b/>
          <w:bCs/>
          <w:kern w:val="0"/>
          <w:sz w:val="24"/>
          <w:lang w:val="en-GB"/>
        </w:rPr>
        <w:t xml:space="preserve">, </w:t>
      </w:r>
      <w:r>
        <w:rPr>
          <w:rFonts w:ascii="Arial" w:hAnsi="Arial" w:cs="Arial"/>
          <w:b/>
          <w:bCs/>
          <w:kern w:val="0"/>
          <w:sz w:val="24"/>
        </w:rPr>
        <w:t>Czech</w:t>
      </w:r>
      <w:r w:rsidR="008E00BE">
        <w:rPr>
          <w:rFonts w:ascii="Arial" w:hAnsi="Arial" w:cs="Arial"/>
          <w:b/>
          <w:bCs/>
          <w:kern w:val="0"/>
          <w:sz w:val="24"/>
        </w:rPr>
        <w:t xml:space="preserve"> Republic</w:t>
      </w:r>
      <w:r>
        <w:rPr>
          <w:rFonts w:ascii="Arial" w:hAnsi="Arial" w:cs="Arial" w:hint="eastAsia"/>
          <w:b/>
          <w:bCs/>
          <w:kern w:val="0"/>
          <w:sz w:val="24"/>
        </w:rPr>
        <w:t>,</w:t>
      </w:r>
      <w:r>
        <w:rPr>
          <w:rFonts w:ascii="Arial" w:hAnsi="Arial" w:cs="Arial"/>
          <w:b/>
          <w:bCs/>
          <w:kern w:val="0"/>
          <w:sz w:val="24"/>
          <w:lang w:val="en-GB"/>
        </w:rPr>
        <w:t xml:space="preserve"> 26</w:t>
      </w:r>
      <w:proofErr w:type="spellStart"/>
      <w:r>
        <w:rPr>
          <w:rFonts w:ascii="Arial" w:hAnsi="Arial" w:cs="Arial" w:hint="eastAsia"/>
          <w:b/>
          <w:bCs/>
          <w:kern w:val="0"/>
          <w:sz w:val="24"/>
          <w:vertAlign w:val="superscript"/>
        </w:rPr>
        <w:t>th</w:t>
      </w:r>
      <w:proofErr w:type="spellEnd"/>
      <w:r>
        <w:rPr>
          <w:rFonts w:ascii="Arial" w:hAnsi="Arial" w:cs="Arial"/>
          <w:b/>
          <w:bCs/>
          <w:kern w:val="0"/>
          <w:sz w:val="24"/>
          <w:lang w:val="en-GB"/>
        </w:rPr>
        <w:t xml:space="preserve"> – </w:t>
      </w:r>
      <w:r>
        <w:rPr>
          <w:rFonts w:ascii="Arial" w:hAnsi="Arial" w:cs="Arial"/>
          <w:b/>
          <w:bCs/>
          <w:kern w:val="0"/>
          <w:sz w:val="24"/>
        </w:rPr>
        <w:t>30</w:t>
      </w:r>
      <w:r>
        <w:rPr>
          <w:rFonts w:ascii="Arial" w:hAnsi="Arial" w:cs="Arial" w:hint="eastAsia"/>
          <w:b/>
          <w:bCs/>
          <w:kern w:val="0"/>
          <w:sz w:val="24"/>
          <w:vertAlign w:val="superscript"/>
        </w:rPr>
        <w:t>t</w:t>
      </w:r>
      <w:r>
        <w:rPr>
          <w:rFonts w:ascii="Arial" w:hAnsi="Arial" w:cs="Arial"/>
          <w:b/>
          <w:bCs/>
          <w:kern w:val="0"/>
          <w:sz w:val="24"/>
          <w:vertAlign w:val="superscript"/>
        </w:rPr>
        <w:t>h</w:t>
      </w:r>
      <w:r>
        <w:rPr>
          <w:rFonts w:ascii="Arial" w:hAnsi="Arial" w:cs="Arial"/>
          <w:b/>
          <w:bCs/>
          <w:kern w:val="0"/>
          <w:sz w:val="24"/>
          <w:lang w:val="en-GB"/>
        </w:rPr>
        <w:t xml:space="preserve"> </w:t>
      </w:r>
      <w:r>
        <w:rPr>
          <w:rFonts w:ascii="Arial" w:hAnsi="Arial" w:cs="Arial"/>
          <w:b/>
          <w:bCs/>
          <w:kern w:val="0"/>
          <w:sz w:val="24"/>
        </w:rPr>
        <w:t>August</w:t>
      </w:r>
      <w:r>
        <w:rPr>
          <w:rFonts w:ascii="Arial" w:hAnsi="Arial" w:cs="Arial" w:hint="eastAsia"/>
          <w:b/>
          <w:bCs/>
          <w:kern w:val="0"/>
          <w:sz w:val="24"/>
          <w:lang w:val="en-GB"/>
        </w:rPr>
        <w:t xml:space="preserve"> 2019</w:t>
      </w:r>
      <w:r>
        <w:rPr>
          <w:rFonts w:ascii="Arial" w:hAnsi="Arial" w:cs="Arial"/>
          <w:b/>
          <w:bCs/>
          <w:kern w:val="0"/>
          <w:sz w:val="24"/>
          <w:lang w:val="en-GB"/>
        </w:rPr>
        <w:t xml:space="preserve"> </w:t>
      </w:r>
    </w:p>
    <w:p w14:paraId="47453FF4" w14:textId="77777777" w:rsidR="00E733FF" w:rsidRPr="00A13D2A"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lang w:val="en-GB"/>
        </w:rPr>
      </w:pPr>
    </w:p>
    <w:p w14:paraId="397B8EEA" w14:textId="6BE49C8C"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p>
    <w:p w14:paraId="542688B7" w14:textId="078A367C"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proofErr w:type="spellStart"/>
      <w:r w:rsidR="00A13D2A">
        <w:rPr>
          <w:rFonts w:ascii="Arial" w:hAnsi="Arial" w:cs="Arial"/>
          <w:b/>
          <w:bCs/>
          <w:snapToGrid w:val="0"/>
          <w:kern w:val="0"/>
          <w:sz w:val="24"/>
        </w:rPr>
        <w:t>C</w:t>
      </w:r>
      <w:r w:rsidR="00A13D2A">
        <w:rPr>
          <w:rFonts w:ascii="Arial" w:hAnsi="Arial" w:cs="Arial" w:hint="eastAsia"/>
          <w:b/>
          <w:bCs/>
          <w:snapToGrid w:val="0"/>
          <w:kern w:val="0"/>
          <w:sz w:val="24"/>
        </w:rPr>
        <w:t>onsdieration</w:t>
      </w:r>
      <w:proofErr w:type="spellEnd"/>
      <w:r w:rsidR="00A13D2A">
        <w:rPr>
          <w:rFonts w:ascii="Arial" w:hAnsi="Arial" w:cs="Arial"/>
          <w:b/>
          <w:bCs/>
          <w:snapToGrid w:val="0"/>
          <w:kern w:val="0"/>
          <w:sz w:val="24"/>
        </w:rPr>
        <w:t xml:space="preserve"> </w:t>
      </w:r>
      <w:r w:rsidR="00A13D2A">
        <w:rPr>
          <w:rFonts w:ascii="Arial" w:hAnsi="Arial" w:cs="Arial" w:hint="eastAsia"/>
          <w:b/>
          <w:bCs/>
          <w:snapToGrid w:val="0"/>
          <w:kern w:val="0"/>
          <w:sz w:val="24"/>
        </w:rPr>
        <w:t>on</w:t>
      </w:r>
      <w:r w:rsidR="00A13D2A">
        <w:rPr>
          <w:rFonts w:ascii="Arial" w:hAnsi="Arial" w:cs="Arial"/>
          <w:b/>
          <w:bCs/>
          <w:snapToGrid w:val="0"/>
          <w:kern w:val="0"/>
          <w:sz w:val="24"/>
        </w:rPr>
        <w:t xml:space="preserve"> CLI remain</w:t>
      </w:r>
      <w:r w:rsidR="00A13D2A">
        <w:rPr>
          <w:rFonts w:ascii="Arial" w:hAnsi="Arial" w:cs="Arial" w:hint="eastAsia"/>
          <w:b/>
          <w:bCs/>
          <w:snapToGrid w:val="0"/>
          <w:kern w:val="0"/>
          <w:sz w:val="24"/>
        </w:rPr>
        <w:t>ing</w:t>
      </w:r>
      <w:r w:rsidR="00A13D2A">
        <w:rPr>
          <w:rFonts w:ascii="Arial" w:hAnsi="Arial" w:cs="Arial"/>
          <w:b/>
          <w:bCs/>
          <w:snapToGrid w:val="0"/>
          <w:kern w:val="0"/>
          <w:sz w:val="24"/>
        </w:rPr>
        <w:t xml:space="preserve"> </w:t>
      </w:r>
      <w:r w:rsidR="00A13D2A">
        <w:rPr>
          <w:rFonts w:ascii="Arial" w:hAnsi="Arial" w:cs="Arial" w:hint="eastAsia"/>
          <w:b/>
          <w:bCs/>
          <w:snapToGrid w:val="0"/>
          <w:kern w:val="0"/>
          <w:sz w:val="24"/>
        </w:rPr>
        <w:t>issues</w:t>
      </w:r>
    </w:p>
    <w:p w14:paraId="6557A8EC" w14:textId="21350BF5"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8E00BE">
        <w:rPr>
          <w:rFonts w:ascii="Arial" w:hAnsi="Arial" w:cs="Arial"/>
          <w:b/>
          <w:bCs/>
          <w:snapToGrid w:val="0"/>
          <w:kern w:val="0"/>
          <w:sz w:val="24"/>
        </w:rPr>
        <w:t>11.15</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D56FF30" w14:textId="6B679089" w:rsidR="00477710" w:rsidRDefault="00477710" w:rsidP="00477710">
      <w:pPr>
        <w:spacing w:before="156"/>
      </w:pPr>
      <w:r>
        <w:t xml:space="preserve">During RAN </w:t>
      </w:r>
      <w:r>
        <w:rPr>
          <w:rFonts w:hint="eastAsia"/>
        </w:rPr>
        <w:t>email</w:t>
      </w:r>
      <w:r>
        <w:t xml:space="preserve"> </w:t>
      </w:r>
      <w:r>
        <w:rPr>
          <w:rFonts w:hint="eastAsia"/>
        </w:rPr>
        <w:t>discussion</w:t>
      </w:r>
      <w:r w:rsidR="00FA6476">
        <w:t xml:space="preserve"> [1]</w:t>
      </w:r>
      <w:r>
        <w:t xml:space="preserve"> “[106#39</w:t>
      </w:r>
      <w:proofErr w:type="gramStart"/>
      <w:r>
        <w:t>][</w:t>
      </w:r>
      <w:proofErr w:type="gramEnd"/>
      <w:r>
        <w:t xml:space="preserve">CLI] Measurement object and event triggers”, the CLI measurement configuration framework is discussed. Among the questions, rapporteur raised one question on the mapping relationship between CLI measurement object and serving cell MO. In this contribution, we further discussed this issue, and shared our views. </w:t>
      </w:r>
    </w:p>
    <w:p w14:paraId="45C8A4D5" w14:textId="789CD83B" w:rsidR="00477710" w:rsidRDefault="003063B6" w:rsidP="003F220A">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D93C383" w14:textId="68A66644" w:rsidR="00385950" w:rsidRDefault="00385950" w:rsidP="003F220A">
      <w:r>
        <w:t xml:space="preserve">According to </w:t>
      </w:r>
      <w:proofErr w:type="gramStart"/>
      <w:r>
        <w:t>WI[</w:t>
      </w:r>
      <w:proofErr w:type="gramEnd"/>
      <w:r w:rsidR="00FA6476">
        <w:t>2</w:t>
      </w:r>
      <w:r>
        <w:t xml:space="preserve">], to mitigate cross-link interference in paired and unpaired spectrum, it was agreed to introduced CLI measurement, which is UE to UE measurement. Based on </w:t>
      </w:r>
      <w:proofErr w:type="spellStart"/>
      <w:r>
        <w:t>RAN1’s</w:t>
      </w:r>
      <w:proofErr w:type="spellEnd"/>
      <w:r>
        <w:t xml:space="preserve"> progress, </w:t>
      </w:r>
      <w:proofErr w:type="spellStart"/>
      <w:r>
        <w:t>UE</w:t>
      </w:r>
      <w:proofErr w:type="spellEnd"/>
      <w:r>
        <w:t xml:space="preserve"> supports SRS-</w:t>
      </w:r>
      <w:proofErr w:type="spellStart"/>
      <w:r>
        <w:t>RSRP</w:t>
      </w:r>
      <w:proofErr w:type="spellEnd"/>
      <w:r>
        <w:t xml:space="preserve"> and CLI-</w:t>
      </w:r>
      <w:proofErr w:type="spellStart"/>
      <w:r>
        <w:t>RSSI</w:t>
      </w:r>
      <w:proofErr w:type="spellEnd"/>
      <w:r>
        <w:t xml:space="preserve"> measurement and reporting. In addition, RAN1 made following agreements during </w:t>
      </w:r>
      <w:proofErr w:type="spellStart"/>
      <w:r>
        <w:t>RAN1#96</w:t>
      </w:r>
      <w:proofErr w:type="spellEnd"/>
      <w:r>
        <w:t xml:space="preserve"> meeting:</w:t>
      </w:r>
    </w:p>
    <w:p w14:paraId="10EB3320" w14:textId="0CCDFD43" w:rsidR="00385950" w:rsidRPr="00FD050E" w:rsidRDefault="00385950" w:rsidP="00385950">
      <w:pPr>
        <w:rPr>
          <w:highlight w:val="green"/>
          <w:lang w:eastAsia="x-none"/>
        </w:rPr>
      </w:pPr>
      <w:r w:rsidRPr="00FD050E">
        <w:rPr>
          <w:highlight w:val="green"/>
          <w:lang w:eastAsia="x-none"/>
        </w:rPr>
        <w:t>Agreement</w:t>
      </w:r>
      <w:r>
        <w:rPr>
          <w:highlight w:val="green"/>
          <w:lang w:eastAsia="x-none"/>
        </w:rPr>
        <w:t>-----</w:t>
      </w:r>
      <w:proofErr w:type="spellStart"/>
      <w:r>
        <w:rPr>
          <w:highlight w:val="green"/>
          <w:lang w:eastAsia="x-none"/>
        </w:rPr>
        <w:t>RAN1#96</w:t>
      </w:r>
      <w:proofErr w:type="spellEnd"/>
    </w:p>
    <w:p w14:paraId="2A14FD69" w14:textId="77777777" w:rsidR="00385950" w:rsidRPr="00FA6476" w:rsidRDefault="00385950" w:rsidP="00385950">
      <w:pPr>
        <w:snapToGrid w:val="0"/>
        <w:spacing w:after="0"/>
        <w:rPr>
          <w:rFonts w:eastAsia="Malgun Gothic"/>
          <w:i/>
          <w:color w:val="0070C0"/>
          <w:lang w:eastAsia="ko-KR"/>
        </w:rPr>
      </w:pPr>
      <w:r w:rsidRPr="00FA6476">
        <w:rPr>
          <w:rFonts w:eastAsia="Malgun Gothic"/>
          <w:i/>
          <w:color w:val="0070C0"/>
          <w:lang w:eastAsia="ko-KR"/>
        </w:rPr>
        <w:t>In information element of resource configuration for</w:t>
      </w:r>
      <w:r w:rsidRPr="00FA6476">
        <w:rPr>
          <w:rFonts w:eastAsia="Malgun Gothic" w:hint="eastAsia"/>
          <w:i/>
          <w:color w:val="0070C0"/>
          <w:lang w:eastAsia="ko-KR"/>
        </w:rPr>
        <w:t xml:space="preserve"> CLI-</w:t>
      </w:r>
      <w:proofErr w:type="spellStart"/>
      <w:r w:rsidRPr="00FA6476">
        <w:rPr>
          <w:rFonts w:eastAsia="Malgun Gothic" w:hint="eastAsia"/>
          <w:i/>
          <w:color w:val="0070C0"/>
          <w:lang w:eastAsia="ko-KR"/>
        </w:rPr>
        <w:t>RSSI</w:t>
      </w:r>
      <w:proofErr w:type="spellEnd"/>
      <w:r w:rsidRPr="00FA6476">
        <w:rPr>
          <w:rFonts w:eastAsia="Malgun Gothic" w:hint="eastAsia"/>
          <w:i/>
          <w:color w:val="0070C0"/>
          <w:lang w:eastAsia="ko-KR"/>
        </w:rPr>
        <w:t xml:space="preserve"> measurement</w:t>
      </w:r>
      <w:r w:rsidRPr="00FA6476">
        <w:rPr>
          <w:rFonts w:eastAsia="Malgun Gothic"/>
          <w:i/>
          <w:color w:val="0070C0"/>
          <w:lang w:eastAsia="ko-KR"/>
        </w:rPr>
        <w:t xml:space="preserve">, </w:t>
      </w:r>
      <w:r w:rsidRPr="00FA6476">
        <w:rPr>
          <w:rFonts w:eastAsia="Malgun Gothic"/>
          <w:i/>
          <w:color w:val="0070C0"/>
        </w:rPr>
        <w:t>reference subcarrier spacing for CLI-</w:t>
      </w:r>
      <w:proofErr w:type="spellStart"/>
      <w:r w:rsidRPr="00FA6476">
        <w:rPr>
          <w:rFonts w:eastAsia="Malgun Gothic"/>
          <w:i/>
          <w:color w:val="0070C0"/>
        </w:rPr>
        <w:t>RSSI</w:t>
      </w:r>
      <w:proofErr w:type="spellEnd"/>
      <w:r w:rsidRPr="00FA6476">
        <w:rPr>
          <w:rFonts w:eastAsia="Malgun Gothic"/>
          <w:i/>
          <w:color w:val="0070C0"/>
        </w:rPr>
        <w:t xml:space="preserve"> measurement</w:t>
      </w:r>
      <w:r w:rsidRPr="00FA6476">
        <w:rPr>
          <w:rFonts w:eastAsia="Malgun Gothic"/>
          <w:i/>
          <w:color w:val="0070C0"/>
          <w:lang w:eastAsia="ko-KR"/>
        </w:rPr>
        <w:t xml:space="preserve"> is included.</w:t>
      </w:r>
    </w:p>
    <w:p w14:paraId="024A741F" w14:textId="77777777" w:rsidR="00385950" w:rsidRPr="00FA6476" w:rsidRDefault="00385950" w:rsidP="00385950">
      <w:pPr>
        <w:pStyle w:val="afffffff3"/>
        <w:widowControl/>
        <w:numPr>
          <w:ilvl w:val="0"/>
          <w:numId w:val="26"/>
        </w:numPr>
        <w:overflowPunct/>
        <w:adjustRightInd/>
        <w:snapToGrid w:val="0"/>
        <w:spacing w:after="0"/>
        <w:contextualSpacing w:val="0"/>
        <w:textAlignment w:val="auto"/>
        <w:rPr>
          <w:rFonts w:eastAsia="Malgun Gothic"/>
          <w:i/>
          <w:color w:val="0070C0"/>
        </w:rPr>
      </w:pPr>
      <w:r w:rsidRPr="00FA6476">
        <w:rPr>
          <w:rFonts w:eastAsia="Malgun Gothic"/>
          <w:i/>
          <w:color w:val="0070C0"/>
        </w:rPr>
        <w:t xml:space="preserve">All subcarrier </w:t>
      </w:r>
      <w:proofErr w:type="spellStart"/>
      <w:r w:rsidRPr="00FA6476">
        <w:rPr>
          <w:rFonts w:eastAsia="Malgun Gothic"/>
          <w:i/>
          <w:color w:val="0070C0"/>
        </w:rPr>
        <w:t>spacings</w:t>
      </w:r>
      <w:proofErr w:type="spellEnd"/>
      <w:r w:rsidRPr="00FA6476">
        <w:rPr>
          <w:rFonts w:eastAsia="Malgun Gothic"/>
          <w:i/>
          <w:color w:val="0070C0"/>
        </w:rPr>
        <w:t xml:space="preserve"> supported in </w:t>
      </w:r>
      <w:proofErr w:type="spellStart"/>
      <w:r w:rsidRPr="00FA6476">
        <w:rPr>
          <w:rFonts w:eastAsia="Malgun Gothic"/>
          <w:i/>
          <w:color w:val="0070C0"/>
        </w:rPr>
        <w:t>Rel</w:t>
      </w:r>
      <w:proofErr w:type="spellEnd"/>
      <w:r w:rsidRPr="00FA6476">
        <w:rPr>
          <w:rFonts w:eastAsia="Malgun Gothic"/>
          <w:i/>
          <w:color w:val="0070C0"/>
        </w:rPr>
        <w:t xml:space="preserve">-15 NR for </w:t>
      </w:r>
      <w:proofErr w:type="spellStart"/>
      <w:r w:rsidRPr="00FA6476">
        <w:rPr>
          <w:rFonts w:eastAsia="Malgun Gothic"/>
          <w:i/>
          <w:color w:val="0070C0"/>
        </w:rPr>
        <w:t>FR1</w:t>
      </w:r>
      <w:proofErr w:type="spellEnd"/>
      <w:r w:rsidRPr="00FA6476">
        <w:rPr>
          <w:rFonts w:eastAsia="Malgun Gothic"/>
          <w:i/>
          <w:color w:val="0070C0"/>
        </w:rPr>
        <w:t xml:space="preserve">, </w:t>
      </w:r>
      <w:proofErr w:type="spellStart"/>
      <w:r w:rsidRPr="00FA6476">
        <w:rPr>
          <w:rFonts w:eastAsia="Malgun Gothic"/>
          <w:i/>
          <w:color w:val="0070C0"/>
        </w:rPr>
        <w:t>FR2</w:t>
      </w:r>
      <w:proofErr w:type="spellEnd"/>
    </w:p>
    <w:p w14:paraId="7D558DF8" w14:textId="77777777" w:rsidR="00385950" w:rsidRPr="00FA6476" w:rsidRDefault="00385950" w:rsidP="00385950">
      <w:pPr>
        <w:pStyle w:val="afffffff3"/>
        <w:widowControl/>
        <w:numPr>
          <w:ilvl w:val="0"/>
          <w:numId w:val="26"/>
        </w:numPr>
        <w:overflowPunct/>
        <w:adjustRightInd/>
        <w:snapToGrid w:val="0"/>
        <w:spacing w:after="0"/>
        <w:contextualSpacing w:val="0"/>
        <w:textAlignment w:val="auto"/>
        <w:rPr>
          <w:rFonts w:eastAsia="Malgun Gothic"/>
          <w:i/>
          <w:color w:val="0070C0"/>
        </w:rPr>
      </w:pPr>
      <w:r w:rsidRPr="00FA6476">
        <w:rPr>
          <w:rFonts w:eastAsia="Malgun Gothic" w:hint="eastAsia"/>
          <w:i/>
          <w:color w:val="0070C0"/>
        </w:rPr>
        <w:t xml:space="preserve">Subcarrier spacing is a </w:t>
      </w:r>
      <w:r w:rsidRPr="00FA6476">
        <w:rPr>
          <w:rFonts w:eastAsia="Malgun Gothic"/>
          <w:i/>
          <w:color w:val="0070C0"/>
        </w:rPr>
        <w:t xml:space="preserve">reference </w:t>
      </w:r>
      <w:r w:rsidRPr="00FA6476">
        <w:rPr>
          <w:rFonts w:eastAsia="Malgun Gothic" w:hint="eastAsia"/>
          <w:i/>
          <w:color w:val="0070C0"/>
        </w:rPr>
        <w:t>unit of time/frequency resource configuration.</w:t>
      </w:r>
    </w:p>
    <w:p w14:paraId="56345297" w14:textId="77777777" w:rsidR="00385950" w:rsidRPr="00FA6476" w:rsidRDefault="00385950" w:rsidP="00385950">
      <w:pPr>
        <w:pStyle w:val="afffffff3"/>
        <w:widowControl/>
        <w:numPr>
          <w:ilvl w:val="0"/>
          <w:numId w:val="26"/>
        </w:numPr>
        <w:overflowPunct/>
        <w:adjustRightInd/>
        <w:snapToGrid w:val="0"/>
        <w:spacing w:after="0"/>
        <w:contextualSpacing w:val="0"/>
        <w:textAlignment w:val="auto"/>
        <w:rPr>
          <w:rFonts w:eastAsia="Malgun Gothic"/>
          <w:i/>
          <w:color w:val="0070C0"/>
        </w:rPr>
      </w:pPr>
      <w:r w:rsidRPr="00FA6476">
        <w:rPr>
          <w:rFonts w:eastAsia="Malgun Gothic"/>
          <w:i/>
          <w:color w:val="0070C0"/>
          <w:highlight w:val="yellow"/>
        </w:rPr>
        <w:t>UE operates CLI measurement within the active BWP</w:t>
      </w:r>
      <w:r w:rsidRPr="00FA6476">
        <w:rPr>
          <w:rFonts w:eastAsia="Malgun Gothic"/>
          <w:i/>
          <w:color w:val="0070C0"/>
        </w:rPr>
        <w:t xml:space="preserve">. </w:t>
      </w:r>
    </w:p>
    <w:p w14:paraId="30514033" w14:textId="77777777" w:rsidR="00385950" w:rsidRPr="00FA6476" w:rsidRDefault="00385950" w:rsidP="00385950">
      <w:pPr>
        <w:pStyle w:val="afffffff3"/>
        <w:widowControl/>
        <w:numPr>
          <w:ilvl w:val="1"/>
          <w:numId w:val="26"/>
        </w:numPr>
        <w:overflowPunct/>
        <w:adjustRightInd/>
        <w:snapToGrid w:val="0"/>
        <w:spacing w:after="0"/>
        <w:contextualSpacing w:val="0"/>
        <w:textAlignment w:val="auto"/>
        <w:rPr>
          <w:rFonts w:eastAsia="Malgun Gothic"/>
          <w:i/>
          <w:color w:val="0070C0"/>
        </w:rPr>
      </w:pPr>
      <w:r w:rsidRPr="00FA6476">
        <w:rPr>
          <w:rFonts w:eastAsia="Malgun Gothic"/>
          <w:i/>
          <w:color w:val="0070C0"/>
        </w:rPr>
        <w:t xml:space="preserve">The subcarrier spacing for CLI-measurement resource configuration can be same or different from the </w:t>
      </w:r>
      <w:proofErr w:type="spellStart"/>
      <w:r w:rsidRPr="00FA6476">
        <w:rPr>
          <w:rFonts w:eastAsia="Malgun Gothic"/>
          <w:i/>
          <w:color w:val="0070C0"/>
        </w:rPr>
        <w:t>SCS</w:t>
      </w:r>
      <w:proofErr w:type="spellEnd"/>
      <w:r w:rsidRPr="00FA6476">
        <w:rPr>
          <w:rFonts w:eastAsia="Malgun Gothic"/>
          <w:i/>
          <w:color w:val="0070C0"/>
        </w:rPr>
        <w:t xml:space="preserve"> of the active BWP.</w:t>
      </w:r>
    </w:p>
    <w:p w14:paraId="7641D6E8" w14:textId="77777777" w:rsidR="00385950" w:rsidRPr="00FA6476" w:rsidRDefault="00385950" w:rsidP="00385950">
      <w:pPr>
        <w:snapToGrid w:val="0"/>
        <w:spacing w:after="0"/>
        <w:rPr>
          <w:rFonts w:eastAsia="Malgun Gothic"/>
          <w:i/>
          <w:color w:val="0070C0"/>
          <w:lang w:eastAsia="ko-KR"/>
        </w:rPr>
      </w:pPr>
      <w:r w:rsidRPr="00FA6476">
        <w:rPr>
          <w:rFonts w:eastAsia="Malgun Gothic" w:hint="eastAsia"/>
          <w:i/>
          <w:color w:val="0070C0"/>
          <w:lang w:eastAsia="ko-KR"/>
        </w:rPr>
        <w:t>One or multiple resources for CLI-</w:t>
      </w:r>
      <w:proofErr w:type="spellStart"/>
      <w:r w:rsidRPr="00FA6476">
        <w:rPr>
          <w:rFonts w:eastAsia="Malgun Gothic" w:hint="eastAsia"/>
          <w:i/>
          <w:color w:val="0070C0"/>
          <w:lang w:eastAsia="ko-KR"/>
        </w:rPr>
        <w:t>RSSI</w:t>
      </w:r>
      <w:proofErr w:type="spellEnd"/>
      <w:r w:rsidRPr="00FA6476">
        <w:rPr>
          <w:rFonts w:eastAsia="Malgun Gothic" w:hint="eastAsia"/>
          <w:i/>
          <w:color w:val="0070C0"/>
          <w:lang w:eastAsia="ko-KR"/>
        </w:rPr>
        <w:t xml:space="preserve"> measurement can be configured</w:t>
      </w:r>
    </w:p>
    <w:p w14:paraId="56DE87E1" w14:textId="77777777" w:rsidR="00385950" w:rsidRPr="00FA6476" w:rsidRDefault="00385950" w:rsidP="00385950">
      <w:pPr>
        <w:pStyle w:val="afffffff3"/>
        <w:widowControl/>
        <w:numPr>
          <w:ilvl w:val="0"/>
          <w:numId w:val="25"/>
        </w:numPr>
        <w:overflowPunct/>
        <w:adjustRightInd/>
        <w:snapToGrid w:val="0"/>
        <w:spacing w:after="0"/>
        <w:ind w:left="720" w:hanging="360"/>
        <w:contextualSpacing w:val="0"/>
        <w:textAlignment w:val="auto"/>
        <w:rPr>
          <w:rFonts w:eastAsia="Malgun Gothic"/>
          <w:i/>
          <w:color w:val="0070C0"/>
        </w:rPr>
      </w:pPr>
      <w:r w:rsidRPr="00FA6476">
        <w:rPr>
          <w:rFonts w:eastAsia="Malgun Gothic"/>
          <w:i/>
          <w:color w:val="0070C0"/>
        </w:rPr>
        <w:t>Maximum number of measurement resource for CLI-</w:t>
      </w:r>
      <w:proofErr w:type="spellStart"/>
      <w:r w:rsidRPr="00FA6476">
        <w:rPr>
          <w:rFonts w:eastAsia="Malgun Gothic"/>
          <w:i/>
          <w:color w:val="0070C0"/>
        </w:rPr>
        <w:t>RSSI</w:t>
      </w:r>
      <w:proofErr w:type="spellEnd"/>
      <w:r w:rsidRPr="00FA6476">
        <w:rPr>
          <w:rFonts w:eastAsia="Malgun Gothic"/>
          <w:i/>
          <w:color w:val="0070C0"/>
        </w:rPr>
        <w:t xml:space="preserve"> measurement is 64.</w:t>
      </w:r>
    </w:p>
    <w:p w14:paraId="723AD461" w14:textId="77777777" w:rsidR="00385950" w:rsidRPr="00FA6476" w:rsidRDefault="00385950" w:rsidP="00385950">
      <w:pPr>
        <w:snapToGrid w:val="0"/>
        <w:spacing w:after="0"/>
        <w:ind w:left="258" w:hangingChars="129" w:hanging="258"/>
        <w:rPr>
          <w:rFonts w:eastAsia="Malgun Gothic"/>
          <w:i/>
          <w:color w:val="0070C0"/>
          <w:szCs w:val="28"/>
          <w:lang w:eastAsia="ko-KR"/>
        </w:rPr>
      </w:pPr>
      <w:r w:rsidRPr="00FA6476">
        <w:rPr>
          <w:rFonts w:eastAsia="Malgun Gothic" w:hint="eastAsia"/>
          <w:i/>
          <w:color w:val="0070C0"/>
          <w:szCs w:val="28"/>
          <w:highlight w:val="yellow"/>
          <w:lang w:eastAsia="ko-KR"/>
        </w:rPr>
        <w:t>For SRS-</w:t>
      </w:r>
      <w:proofErr w:type="spellStart"/>
      <w:r w:rsidRPr="00FA6476">
        <w:rPr>
          <w:rFonts w:eastAsia="Malgun Gothic" w:hint="eastAsia"/>
          <w:i/>
          <w:color w:val="0070C0"/>
          <w:szCs w:val="28"/>
          <w:highlight w:val="yellow"/>
          <w:lang w:eastAsia="ko-KR"/>
        </w:rPr>
        <w:t>RSRP</w:t>
      </w:r>
      <w:proofErr w:type="spellEnd"/>
      <w:r w:rsidRPr="00FA6476">
        <w:rPr>
          <w:rFonts w:eastAsia="Malgun Gothic" w:hint="eastAsia"/>
          <w:i/>
          <w:color w:val="0070C0"/>
          <w:szCs w:val="28"/>
          <w:highlight w:val="yellow"/>
          <w:lang w:eastAsia="ko-KR"/>
        </w:rPr>
        <w:t xml:space="preserve"> measurement, one or more </w:t>
      </w:r>
      <w:r w:rsidRPr="00FA6476">
        <w:rPr>
          <w:rFonts w:eastAsia="Malgun Gothic"/>
          <w:i/>
          <w:color w:val="0070C0"/>
          <w:szCs w:val="28"/>
          <w:highlight w:val="yellow"/>
          <w:lang w:eastAsia="ko-KR"/>
        </w:rPr>
        <w:t>SRS resource per serving cell can be configured</w:t>
      </w:r>
    </w:p>
    <w:p w14:paraId="3D685672" w14:textId="1D238A4D" w:rsidR="00477710" w:rsidRPr="00FA6476" w:rsidRDefault="00385950" w:rsidP="00FA6476">
      <w:pPr>
        <w:snapToGrid w:val="0"/>
        <w:spacing w:after="0"/>
        <w:rPr>
          <w:rFonts w:eastAsia="Malgun Gothic"/>
          <w:i/>
          <w:color w:val="0070C0"/>
          <w:szCs w:val="36"/>
          <w:lang w:eastAsia="ko-KR"/>
        </w:rPr>
      </w:pPr>
      <w:r w:rsidRPr="00FA6476">
        <w:rPr>
          <w:rFonts w:eastAsia="Malgun Gothic" w:hint="eastAsia"/>
          <w:i/>
          <w:color w:val="0070C0"/>
          <w:szCs w:val="36"/>
          <w:lang w:eastAsia="ko-KR"/>
        </w:rPr>
        <w:t>For SRS-</w:t>
      </w:r>
      <w:proofErr w:type="spellStart"/>
      <w:r w:rsidRPr="00FA6476">
        <w:rPr>
          <w:rFonts w:eastAsia="Malgun Gothic" w:hint="eastAsia"/>
          <w:i/>
          <w:color w:val="0070C0"/>
          <w:szCs w:val="36"/>
          <w:lang w:eastAsia="ko-KR"/>
        </w:rPr>
        <w:t>RSRP</w:t>
      </w:r>
      <w:proofErr w:type="spellEnd"/>
      <w:r w:rsidRPr="00FA6476">
        <w:rPr>
          <w:rFonts w:eastAsia="Malgun Gothic" w:hint="eastAsia"/>
          <w:i/>
          <w:color w:val="0070C0"/>
          <w:szCs w:val="36"/>
          <w:lang w:eastAsia="ko-KR"/>
        </w:rPr>
        <w:t>, the total number of SRS</w:t>
      </w:r>
      <w:r w:rsidRPr="00FA6476">
        <w:rPr>
          <w:rFonts w:eastAsia="Malgun Gothic"/>
          <w:i/>
          <w:color w:val="0070C0"/>
          <w:szCs w:val="36"/>
          <w:lang w:eastAsia="ko-KR"/>
        </w:rPr>
        <w:t xml:space="preserve"> resource</w:t>
      </w:r>
      <w:r w:rsidRPr="00FA6476">
        <w:rPr>
          <w:rFonts w:eastAsia="Malgun Gothic" w:hint="eastAsia"/>
          <w:i/>
          <w:color w:val="0070C0"/>
          <w:szCs w:val="36"/>
          <w:lang w:eastAsia="ko-KR"/>
        </w:rPr>
        <w:t xml:space="preserve">s to be monitored by a UE should not exceed </w:t>
      </w:r>
      <w:r w:rsidRPr="00FA6476">
        <w:rPr>
          <w:rFonts w:eastAsia="Malgun Gothic"/>
          <w:i/>
          <w:color w:val="0070C0"/>
          <w:szCs w:val="36"/>
          <w:lang w:eastAsia="ko-KR"/>
        </w:rPr>
        <w:t>32</w:t>
      </w:r>
      <w:r w:rsidRPr="00FA6476">
        <w:rPr>
          <w:rFonts w:eastAsia="Malgun Gothic" w:hint="eastAsia"/>
          <w:i/>
          <w:color w:val="0070C0"/>
          <w:szCs w:val="36"/>
          <w:lang w:eastAsia="ko-KR"/>
        </w:rPr>
        <w:t>.</w:t>
      </w:r>
    </w:p>
    <w:p w14:paraId="79831541" w14:textId="16B0A185" w:rsidR="00774E75" w:rsidRDefault="00FA6476" w:rsidP="003F220A">
      <w:r>
        <w:t xml:space="preserve">During </w:t>
      </w:r>
      <w:proofErr w:type="spellStart"/>
      <w:r>
        <w:t>RAN2</w:t>
      </w:r>
      <w:proofErr w:type="spellEnd"/>
      <w:r>
        <w:t xml:space="preserve"> email discussion</w:t>
      </w:r>
      <w:r w:rsidR="001D1BF6">
        <w:t xml:space="preserve"> </w:t>
      </w:r>
      <w:r>
        <w:t>[1], companies have</w:t>
      </w:r>
      <w:r w:rsidR="001D1BF6">
        <w:t xml:space="preserve"> different</w:t>
      </w:r>
      <w:r>
        <w:t xml:space="preserve"> interpretation on </w:t>
      </w:r>
      <w:r w:rsidR="00774E75">
        <w:t xml:space="preserve">the “serving cell” in </w:t>
      </w:r>
      <w:r>
        <w:t>agreement</w:t>
      </w:r>
      <w:r w:rsidR="00774E75">
        <w:t xml:space="preserve"> “For SRS-</w:t>
      </w:r>
      <w:proofErr w:type="spellStart"/>
      <w:r w:rsidR="00774E75">
        <w:t>RSRP</w:t>
      </w:r>
      <w:proofErr w:type="spellEnd"/>
      <w:r w:rsidR="00774E75">
        <w:t xml:space="preserve"> measurement, one or more SRS resource per serving cell can be con</w:t>
      </w:r>
      <w:r w:rsidR="00553276">
        <w:t>figured</w:t>
      </w:r>
      <w:r>
        <w:t>”</w:t>
      </w:r>
      <w:r w:rsidR="00774E75">
        <w:t xml:space="preserve">. </w:t>
      </w:r>
    </w:p>
    <w:p w14:paraId="2A9618EF" w14:textId="461B04C7" w:rsidR="00774E75" w:rsidRPr="00774E75" w:rsidRDefault="00774E75" w:rsidP="00774E75">
      <w:pPr>
        <w:spacing w:before="120" w:after="120"/>
        <w:ind w:left="1276" w:hanging="1276"/>
        <w:rPr>
          <w:b/>
        </w:rPr>
      </w:pPr>
      <w:r>
        <w:rPr>
          <w:b/>
        </w:rPr>
        <w:t>Observation</w:t>
      </w:r>
      <w:r w:rsidRPr="00184214">
        <w:rPr>
          <w:rFonts w:hint="eastAsia"/>
          <w:b/>
        </w:rPr>
        <w:t xml:space="preserve"> </w:t>
      </w:r>
      <w:r w:rsidRPr="00184214">
        <w:rPr>
          <w:b/>
        </w:rPr>
        <w:t>1</w:t>
      </w:r>
      <w:r w:rsidRPr="00184214">
        <w:rPr>
          <w:rFonts w:hint="eastAsia"/>
          <w:b/>
        </w:rPr>
        <w:t xml:space="preserve">:  </w:t>
      </w:r>
      <w:r>
        <w:rPr>
          <w:b/>
        </w:rPr>
        <w:t>The meaning of “per serving cell” in RAN1 agreement</w:t>
      </w:r>
      <w:r w:rsidRPr="00774E75">
        <w:rPr>
          <w:b/>
        </w:rPr>
        <w:t xml:space="preserve"> </w:t>
      </w:r>
      <w:r>
        <w:rPr>
          <w:b/>
        </w:rPr>
        <w:t xml:space="preserve">is unclear from </w:t>
      </w:r>
      <w:proofErr w:type="spellStart"/>
      <w:r>
        <w:rPr>
          <w:b/>
        </w:rPr>
        <w:t>RAN2</w:t>
      </w:r>
      <w:proofErr w:type="spellEnd"/>
      <w:r>
        <w:rPr>
          <w:b/>
        </w:rPr>
        <w:t xml:space="preserve"> perspective.</w:t>
      </w:r>
    </w:p>
    <w:p w14:paraId="0151102B" w14:textId="5967E399" w:rsidR="007E5110" w:rsidRDefault="00774E75" w:rsidP="003F220A">
      <w:r>
        <w:t>Per our understanding, the purpose of CLI measurement is to discover</w:t>
      </w:r>
      <w:r w:rsidR="00553276">
        <w:t xml:space="preserve"> cross link </w:t>
      </w:r>
      <w:r>
        <w:t xml:space="preserve">interference from other aggressor </w:t>
      </w:r>
      <w:proofErr w:type="spellStart"/>
      <w:r>
        <w:t>UEs</w:t>
      </w:r>
      <w:proofErr w:type="spellEnd"/>
      <w:r w:rsidR="00553276">
        <w:t xml:space="preserve"> in neighbour cells</w:t>
      </w:r>
      <w:r>
        <w:t xml:space="preserve">, then network can take smart scheduling decision for victim UE, or initiate coordination between neighbour cells (e.g. intended DL/UL configuration) to reduce impact on UE-UE CLI. </w:t>
      </w:r>
      <w:r w:rsidR="007E5110">
        <w:t xml:space="preserve">Therefore, when configuring CLI measurement to a victim UE, the SRS resources configured in CLI measurement object may belong to several potential aggressor </w:t>
      </w:r>
      <w:proofErr w:type="spellStart"/>
      <w:r w:rsidR="007E5110">
        <w:t>UEs</w:t>
      </w:r>
      <w:proofErr w:type="spellEnd"/>
      <w:r w:rsidR="007E5110">
        <w:t xml:space="preserve"> in</w:t>
      </w:r>
      <w:r w:rsidR="00553276">
        <w:t xml:space="preserve"> neighbour cells, and those neighbour cell identities can be transparent to victim UE. </w:t>
      </w:r>
    </w:p>
    <w:p w14:paraId="565C0FAE" w14:textId="69961847" w:rsidR="001D1BF6" w:rsidRDefault="001D1BF6" w:rsidP="001D1BF6">
      <w:pPr>
        <w:spacing w:before="120" w:after="120"/>
        <w:ind w:left="1276" w:hanging="1276"/>
        <w:rPr>
          <w:b/>
        </w:rPr>
      </w:pPr>
      <w:r>
        <w:rPr>
          <w:b/>
        </w:rPr>
        <w:lastRenderedPageBreak/>
        <w:t>Observation</w:t>
      </w:r>
      <w:r w:rsidRPr="00184214">
        <w:rPr>
          <w:rFonts w:hint="eastAsia"/>
          <w:b/>
        </w:rPr>
        <w:t xml:space="preserve"> </w:t>
      </w:r>
      <w:r>
        <w:rPr>
          <w:b/>
        </w:rPr>
        <w:t>2</w:t>
      </w:r>
      <w:r w:rsidRPr="00184214">
        <w:rPr>
          <w:rFonts w:hint="eastAsia"/>
          <w:b/>
        </w:rPr>
        <w:t xml:space="preserve">:  </w:t>
      </w:r>
      <w:r>
        <w:rPr>
          <w:b/>
        </w:rPr>
        <w:t xml:space="preserve">The SRS resources </w:t>
      </w:r>
      <w:r w:rsidR="00234DEA">
        <w:rPr>
          <w:b/>
        </w:rPr>
        <w:t xml:space="preserve">configured </w:t>
      </w:r>
      <w:r>
        <w:rPr>
          <w:b/>
        </w:rPr>
        <w:t xml:space="preserve">in CLI measurement are transmitted by potential aggressor </w:t>
      </w:r>
      <w:proofErr w:type="spellStart"/>
      <w:r>
        <w:rPr>
          <w:b/>
        </w:rPr>
        <w:t>UEs</w:t>
      </w:r>
      <w:proofErr w:type="spellEnd"/>
      <w:r>
        <w:rPr>
          <w:b/>
        </w:rPr>
        <w:t xml:space="preserve"> in neighbour cells. </w:t>
      </w:r>
    </w:p>
    <w:p w14:paraId="7843E30D" w14:textId="75AB910D" w:rsidR="00FA6476" w:rsidRDefault="007E5110" w:rsidP="003F220A">
      <w:r>
        <w:t>On the other hand, RAN1 agreed that UE can only perform CLI measurement (including SRS-</w:t>
      </w:r>
      <w:proofErr w:type="spellStart"/>
      <w:r>
        <w:t>RSRP</w:t>
      </w:r>
      <w:proofErr w:type="spellEnd"/>
      <w:r>
        <w:t xml:space="preserve"> and CLI-</w:t>
      </w:r>
      <w:proofErr w:type="spellStart"/>
      <w:r>
        <w:t>RSSI</w:t>
      </w:r>
      <w:proofErr w:type="spellEnd"/>
      <w:r>
        <w:t xml:space="preserve">) within active BWP, which is similar to intra-frequency measurement in legacy NR measurement. Considering UE may be configured with up to 4 </w:t>
      </w:r>
      <w:proofErr w:type="spellStart"/>
      <w:r>
        <w:t>BWPs</w:t>
      </w:r>
      <w:proofErr w:type="spellEnd"/>
      <w:r>
        <w:t xml:space="preserve"> and dynamic BWP switch is supported</w:t>
      </w:r>
      <w:r w:rsidR="00397AB2">
        <w:t xml:space="preserve"> in NR</w:t>
      </w:r>
      <w:r>
        <w:t xml:space="preserve">. </w:t>
      </w:r>
      <w:r w:rsidR="00E60A9D">
        <w:t xml:space="preserve">For </w:t>
      </w:r>
      <w:r w:rsidR="00553276">
        <w:t xml:space="preserve">CLI </w:t>
      </w:r>
      <w:r w:rsidR="00E60A9D">
        <w:t>measurement configuration, it is impossible to modify the measurement object upon</w:t>
      </w:r>
      <w:r w:rsidR="00553276">
        <w:t xml:space="preserve"> </w:t>
      </w:r>
      <w:r w:rsidR="00E60A9D">
        <w:t>active BWP change, so f</w:t>
      </w:r>
      <w:r>
        <w:t xml:space="preserve">rom </w:t>
      </w:r>
      <w:r w:rsidR="00E60A9D">
        <w:t>network</w:t>
      </w:r>
      <w:r>
        <w:t xml:space="preserve"> perspective,</w:t>
      </w:r>
      <w:r w:rsidR="00397AB2">
        <w:t xml:space="preserve"> </w:t>
      </w:r>
      <w:r w:rsidR="00E60A9D">
        <w:t>the bandwidth of SRS resource</w:t>
      </w:r>
      <w:r w:rsidR="00553276">
        <w:t>s</w:t>
      </w:r>
      <w:r w:rsidR="00E60A9D">
        <w:t xml:space="preserve"> can be large, and UE is only required</w:t>
      </w:r>
      <w:r w:rsidR="00397AB2">
        <w:t xml:space="preserve"> to measure the overlapped SRS resource part upon act</w:t>
      </w:r>
      <w:r w:rsidR="00C543BC">
        <w:t>ive BWP change.</w:t>
      </w:r>
    </w:p>
    <w:p w14:paraId="18615191" w14:textId="4C83C8DC" w:rsidR="00397AB2" w:rsidRPr="00774E75" w:rsidRDefault="00397AB2" w:rsidP="00397AB2">
      <w:pPr>
        <w:spacing w:before="120" w:after="120"/>
        <w:ind w:left="1276" w:hanging="1276"/>
        <w:rPr>
          <w:b/>
        </w:rPr>
      </w:pPr>
      <w:r>
        <w:rPr>
          <w:b/>
        </w:rPr>
        <w:t>Observation</w:t>
      </w:r>
      <w:r w:rsidRPr="00184214">
        <w:rPr>
          <w:rFonts w:hint="eastAsia"/>
          <w:b/>
        </w:rPr>
        <w:t xml:space="preserve"> </w:t>
      </w:r>
      <w:r w:rsidR="00553276">
        <w:rPr>
          <w:b/>
        </w:rPr>
        <w:t>3</w:t>
      </w:r>
      <w:r w:rsidRPr="00184214">
        <w:rPr>
          <w:rFonts w:hint="eastAsia"/>
          <w:b/>
        </w:rPr>
        <w:t xml:space="preserve">:  </w:t>
      </w:r>
      <w:r>
        <w:rPr>
          <w:b/>
        </w:rPr>
        <w:t>The bandwidth of SRS</w:t>
      </w:r>
      <w:r w:rsidR="001D1BF6">
        <w:rPr>
          <w:b/>
        </w:rPr>
        <w:t xml:space="preserve"> resources in CLI measurement</w:t>
      </w:r>
      <w:r>
        <w:rPr>
          <w:b/>
        </w:rPr>
        <w:t xml:space="preserve"> can be large, </w:t>
      </w:r>
      <w:r w:rsidR="00C543BC">
        <w:rPr>
          <w:b/>
        </w:rPr>
        <w:t xml:space="preserve">while the victim </w:t>
      </w:r>
      <w:r>
        <w:rPr>
          <w:b/>
        </w:rPr>
        <w:t>UE is only required to measure the overlapped SRS resource</w:t>
      </w:r>
      <w:r w:rsidR="00E60A9D">
        <w:rPr>
          <w:b/>
        </w:rPr>
        <w:t xml:space="preserve"> part</w:t>
      </w:r>
      <w:r>
        <w:rPr>
          <w:b/>
        </w:rPr>
        <w:t xml:space="preserve"> upon active BWP </w:t>
      </w:r>
      <w:r w:rsidR="00E60A9D">
        <w:rPr>
          <w:b/>
        </w:rPr>
        <w:t>switching</w:t>
      </w:r>
      <w:r>
        <w:rPr>
          <w:b/>
        </w:rPr>
        <w:t>.</w:t>
      </w:r>
    </w:p>
    <w:p w14:paraId="7D2A6E52" w14:textId="12CE3D66" w:rsidR="00FE7910" w:rsidRPr="00B745A3" w:rsidRDefault="00553276" w:rsidP="003F220A">
      <w:pPr>
        <w:rPr>
          <w:szCs w:val="22"/>
          <w:lang w:eastAsia="ko-KR"/>
        </w:rPr>
      </w:pPr>
      <w:r>
        <w:t xml:space="preserve">So far, RAN1 discussed the applicability of CLI measurement in </w:t>
      </w:r>
      <w:proofErr w:type="spellStart"/>
      <w:r>
        <w:t>FR1</w:t>
      </w:r>
      <w:proofErr w:type="spellEnd"/>
      <w:r>
        <w:t xml:space="preserve"> and </w:t>
      </w:r>
      <w:proofErr w:type="spellStart"/>
      <w:r>
        <w:t>FR2</w:t>
      </w:r>
      <w:proofErr w:type="spellEnd"/>
      <w:r>
        <w:t xml:space="preserve"> scenario. However, it is unclear whether network can configure CLI measurement towards the frequency of </w:t>
      </w:r>
      <w:proofErr w:type="spellStart"/>
      <w:r>
        <w:t>SCell</w:t>
      </w:r>
      <w:proofErr w:type="spellEnd"/>
      <w:r>
        <w:t xml:space="preserve"> (e.g. NR CA) or </w:t>
      </w:r>
      <w:proofErr w:type="spellStart"/>
      <w:r>
        <w:t>PSCell</w:t>
      </w:r>
      <w:proofErr w:type="spellEnd"/>
      <w:r>
        <w:t xml:space="preserve"> (e.g. EN-DC). </w:t>
      </w:r>
      <w:proofErr w:type="spellStart"/>
      <w:r w:rsidR="00FE7910">
        <w:t>RAN4</w:t>
      </w:r>
      <w:proofErr w:type="spellEnd"/>
      <w:r w:rsidR="00FE7910">
        <w:t xml:space="preserve"> only made conclusion in </w:t>
      </w:r>
      <w:proofErr w:type="spellStart"/>
      <w:r w:rsidR="00FE7910">
        <w:t>RAN1#AH1901</w:t>
      </w:r>
      <w:proofErr w:type="spellEnd"/>
      <w:r w:rsidR="00FE7910">
        <w:t xml:space="preserve"> that “</w:t>
      </w:r>
      <w:r w:rsidR="00FE7910" w:rsidRPr="00B745A3">
        <w:rPr>
          <w:i/>
          <w:szCs w:val="22"/>
          <w:lang w:eastAsia="ko-KR"/>
        </w:rPr>
        <w:t xml:space="preserve">For </w:t>
      </w:r>
      <w:proofErr w:type="spellStart"/>
      <w:r w:rsidR="00FE7910" w:rsidRPr="00B745A3">
        <w:rPr>
          <w:i/>
          <w:szCs w:val="22"/>
          <w:lang w:eastAsia="ko-KR"/>
        </w:rPr>
        <w:t>L3</w:t>
      </w:r>
      <w:proofErr w:type="spellEnd"/>
      <w:r w:rsidR="00FE7910" w:rsidRPr="00B745A3">
        <w:rPr>
          <w:i/>
          <w:szCs w:val="22"/>
          <w:lang w:eastAsia="ko-KR"/>
        </w:rPr>
        <w:t xml:space="preserve"> measurement reporting of </w:t>
      </w:r>
      <w:proofErr w:type="spellStart"/>
      <w:r w:rsidR="00FE7910" w:rsidRPr="00B745A3">
        <w:rPr>
          <w:i/>
          <w:szCs w:val="22"/>
          <w:lang w:eastAsia="ko-KR"/>
        </w:rPr>
        <w:t>RSSI</w:t>
      </w:r>
      <w:proofErr w:type="spellEnd"/>
      <w:r w:rsidR="00FE7910" w:rsidRPr="00B745A3">
        <w:rPr>
          <w:i/>
          <w:szCs w:val="22"/>
          <w:lang w:eastAsia="ko-KR"/>
        </w:rPr>
        <w:t>/SRS-</w:t>
      </w:r>
      <w:proofErr w:type="spellStart"/>
      <w:r w:rsidR="00FE7910" w:rsidRPr="00B745A3">
        <w:rPr>
          <w:i/>
          <w:szCs w:val="22"/>
          <w:lang w:eastAsia="ko-KR"/>
        </w:rPr>
        <w:t>RSRP</w:t>
      </w:r>
      <w:proofErr w:type="spellEnd"/>
      <w:r w:rsidR="00FE7910" w:rsidRPr="00B745A3">
        <w:rPr>
          <w:i/>
          <w:szCs w:val="22"/>
          <w:lang w:eastAsia="ko-KR"/>
        </w:rPr>
        <w:t xml:space="preserve">, the specification detail on the reporting and triggering mechanism is discussed in </w:t>
      </w:r>
      <w:proofErr w:type="spellStart"/>
      <w:r w:rsidR="00FE7910" w:rsidRPr="00B745A3">
        <w:rPr>
          <w:i/>
          <w:szCs w:val="22"/>
          <w:lang w:eastAsia="ko-KR"/>
        </w:rPr>
        <w:t>RAN2</w:t>
      </w:r>
      <w:proofErr w:type="spellEnd"/>
      <w:r w:rsidR="00FE7910">
        <w:rPr>
          <w:szCs w:val="22"/>
          <w:lang w:eastAsia="ko-KR"/>
        </w:rPr>
        <w:t>”</w:t>
      </w:r>
      <w:r w:rsidR="00B745A3">
        <w:rPr>
          <w:szCs w:val="22"/>
          <w:lang w:eastAsia="ko-KR"/>
        </w:rPr>
        <w:t xml:space="preserve">. </w:t>
      </w:r>
    </w:p>
    <w:p w14:paraId="69F81AD8" w14:textId="2D3878BA" w:rsidR="007E5110" w:rsidRDefault="00B745A3" w:rsidP="003F220A">
      <w:r>
        <w:t xml:space="preserve">According to WI and </w:t>
      </w:r>
      <w:proofErr w:type="spellStart"/>
      <w:r>
        <w:t>TR38.828</w:t>
      </w:r>
      <w:proofErr w:type="spellEnd"/>
      <w:r>
        <w:t>, cross link interference exists when aggressor BS/</w:t>
      </w:r>
      <w:proofErr w:type="spellStart"/>
      <w:r>
        <w:t>UEs</w:t>
      </w:r>
      <w:proofErr w:type="spellEnd"/>
      <w:r>
        <w:t xml:space="preserve"> are close to victim BS/</w:t>
      </w:r>
      <w:proofErr w:type="spellStart"/>
      <w:r>
        <w:t>UEs</w:t>
      </w:r>
      <w:proofErr w:type="spellEnd"/>
      <w:r>
        <w:t xml:space="preserve">, for intra-frequency deployment, CLI problem may happen no matter </w:t>
      </w:r>
      <w:proofErr w:type="spellStart"/>
      <w:r>
        <w:t>UE</w:t>
      </w:r>
      <w:proofErr w:type="spellEnd"/>
      <w:r>
        <w:t xml:space="preserve"> is operating on </w:t>
      </w:r>
      <w:proofErr w:type="spellStart"/>
      <w:r>
        <w:t>PCell</w:t>
      </w:r>
      <w:proofErr w:type="spellEnd"/>
      <w:r>
        <w:t xml:space="preserve"> or </w:t>
      </w:r>
      <w:proofErr w:type="spellStart"/>
      <w:r>
        <w:t>SCell</w:t>
      </w:r>
      <w:proofErr w:type="spellEnd"/>
      <w:r>
        <w:t xml:space="preserve">. So to facilitate network to discover the problem and take appropriate scheduling action, it makes sense to support CLI measurement for CA, EN-DC and </w:t>
      </w:r>
      <w:proofErr w:type="spellStart"/>
      <w:r>
        <w:t>MR</w:t>
      </w:r>
      <w:proofErr w:type="spellEnd"/>
      <w:r>
        <w:t xml:space="preserve">-DC </w:t>
      </w:r>
      <w:proofErr w:type="spellStart"/>
      <w:r>
        <w:t>UEs</w:t>
      </w:r>
      <w:proofErr w:type="spellEnd"/>
      <w:r>
        <w:t xml:space="preserve">. From </w:t>
      </w:r>
      <w:proofErr w:type="spellStart"/>
      <w:r>
        <w:t>UE</w:t>
      </w:r>
      <w:proofErr w:type="spellEnd"/>
      <w:r>
        <w:t xml:space="preserve"> perspective, </w:t>
      </w:r>
      <w:proofErr w:type="spellStart"/>
      <w:r>
        <w:t>UE</w:t>
      </w:r>
      <w:proofErr w:type="spellEnd"/>
      <w:r>
        <w:t xml:space="preserve"> only need to perform CLI measurement within the active BWP of corresponding serving cell.   </w:t>
      </w:r>
      <w:r w:rsidR="007E5110">
        <w:t xml:space="preserve"> </w:t>
      </w:r>
    </w:p>
    <w:p w14:paraId="0DED65B4" w14:textId="3C964DC3" w:rsidR="00553276" w:rsidRPr="00553276" w:rsidRDefault="00553276" w:rsidP="00553276">
      <w:pPr>
        <w:spacing w:before="120" w:after="120"/>
        <w:ind w:left="1276" w:hanging="1276"/>
        <w:rPr>
          <w:b/>
        </w:rPr>
      </w:pPr>
      <w:r>
        <w:rPr>
          <w:b/>
        </w:rPr>
        <w:t>Observation</w:t>
      </w:r>
      <w:r w:rsidRPr="00184214">
        <w:rPr>
          <w:rFonts w:hint="eastAsia"/>
          <w:b/>
        </w:rPr>
        <w:t xml:space="preserve"> </w:t>
      </w:r>
      <w:r>
        <w:rPr>
          <w:b/>
        </w:rPr>
        <w:t>4</w:t>
      </w:r>
      <w:r w:rsidRPr="00184214">
        <w:rPr>
          <w:rFonts w:hint="eastAsia"/>
          <w:b/>
        </w:rPr>
        <w:t xml:space="preserve">:  </w:t>
      </w:r>
      <w:r>
        <w:rPr>
          <w:b/>
        </w:rPr>
        <w:t xml:space="preserve">From network point of view, CLI issue may happen in </w:t>
      </w:r>
      <w:proofErr w:type="spellStart"/>
      <w:r>
        <w:rPr>
          <w:b/>
        </w:rPr>
        <w:t>PCell</w:t>
      </w:r>
      <w:proofErr w:type="spellEnd"/>
      <w:r>
        <w:rPr>
          <w:b/>
        </w:rPr>
        <w:t xml:space="preserve">, </w:t>
      </w:r>
      <w:proofErr w:type="spellStart"/>
      <w:r>
        <w:rPr>
          <w:b/>
        </w:rPr>
        <w:t>PSCell</w:t>
      </w:r>
      <w:proofErr w:type="spellEnd"/>
      <w:r>
        <w:rPr>
          <w:b/>
        </w:rPr>
        <w:t xml:space="preserve"> as well as </w:t>
      </w:r>
      <w:proofErr w:type="spellStart"/>
      <w:r>
        <w:rPr>
          <w:b/>
        </w:rPr>
        <w:t>SCell</w:t>
      </w:r>
      <w:proofErr w:type="spellEnd"/>
      <w:r>
        <w:rPr>
          <w:b/>
        </w:rPr>
        <w:t>.</w:t>
      </w:r>
    </w:p>
    <w:p w14:paraId="259B53A8" w14:textId="3E429C83" w:rsidR="007E5110" w:rsidRDefault="007E5110" w:rsidP="007E5110">
      <w:pPr>
        <w:spacing w:before="156" w:line="276" w:lineRule="auto"/>
        <w:ind w:left="993" w:hanging="993"/>
        <w:rPr>
          <w:b/>
        </w:rPr>
      </w:pPr>
      <w:r>
        <w:rPr>
          <w:b/>
        </w:rPr>
        <w:t xml:space="preserve">Proposal 1: </w:t>
      </w:r>
      <w:r w:rsidR="006040B4">
        <w:rPr>
          <w:b/>
        </w:rPr>
        <w:t xml:space="preserve">CLI measurement is supported for </w:t>
      </w:r>
      <w:proofErr w:type="spellStart"/>
      <w:r w:rsidR="006040B4">
        <w:rPr>
          <w:b/>
        </w:rPr>
        <w:t>UEs</w:t>
      </w:r>
      <w:proofErr w:type="spellEnd"/>
      <w:r w:rsidR="006040B4">
        <w:rPr>
          <w:b/>
        </w:rPr>
        <w:t xml:space="preserve"> configured with CA, EN-DC or </w:t>
      </w:r>
      <w:proofErr w:type="spellStart"/>
      <w:r w:rsidR="006040B4">
        <w:rPr>
          <w:b/>
        </w:rPr>
        <w:t>MR</w:t>
      </w:r>
      <w:proofErr w:type="spellEnd"/>
      <w:r w:rsidR="006040B4">
        <w:rPr>
          <w:b/>
        </w:rPr>
        <w:t>-DC</w:t>
      </w:r>
      <w:proofErr w:type="gramStart"/>
      <w:r w:rsidR="006040B4">
        <w:rPr>
          <w:b/>
        </w:rPr>
        <w:t>.</w:t>
      </w:r>
      <w:r>
        <w:rPr>
          <w:b/>
        </w:rPr>
        <w:t>.</w:t>
      </w:r>
      <w:proofErr w:type="gramEnd"/>
    </w:p>
    <w:p w14:paraId="54DAFDB0" w14:textId="77777777" w:rsidR="00553276" w:rsidRDefault="00553276" w:rsidP="00553276">
      <w:r w:rsidRPr="00553276">
        <w:t>Regarding the stage 3</w:t>
      </w:r>
      <w:r>
        <w:t xml:space="preserve"> impact of proposal 1, it includes following aspects:</w:t>
      </w:r>
    </w:p>
    <w:p w14:paraId="1F65FAE0" w14:textId="51E6F7C4" w:rsidR="00553276" w:rsidRDefault="00553276" w:rsidP="00FE7910">
      <w:pPr>
        <w:pStyle w:val="afffffff3"/>
        <w:numPr>
          <w:ilvl w:val="0"/>
          <w:numId w:val="28"/>
        </w:numPr>
      </w:pPr>
      <w:r>
        <w:t>Signaling supports multiple CLI measurement objects, each measurement object contains one or more SRS resources;</w:t>
      </w:r>
    </w:p>
    <w:p w14:paraId="6D320C80" w14:textId="3A1883B6" w:rsidR="00553276" w:rsidRDefault="00553276" w:rsidP="00FE7910">
      <w:pPr>
        <w:pStyle w:val="afffffff3"/>
        <w:numPr>
          <w:ilvl w:val="0"/>
          <w:numId w:val="28"/>
        </w:numPr>
      </w:pPr>
      <w:r>
        <w:t xml:space="preserve">Signalling supports association between each CLI measurement object and current serving cells of victim UE. </w:t>
      </w:r>
    </w:p>
    <w:p w14:paraId="2073333E" w14:textId="77503C9F" w:rsidR="007E5110" w:rsidRDefault="007E5110" w:rsidP="007E5110">
      <w:pPr>
        <w:spacing w:before="156" w:line="276" w:lineRule="auto"/>
        <w:ind w:left="993" w:hanging="993"/>
        <w:rPr>
          <w:b/>
        </w:rPr>
      </w:pPr>
      <w:r>
        <w:rPr>
          <w:b/>
        </w:rPr>
        <w:t xml:space="preserve">Proposal 2: </w:t>
      </w:r>
      <w:r w:rsidR="00553276">
        <w:rPr>
          <w:b/>
        </w:rPr>
        <w:t xml:space="preserve">For CA, EN-DC, </w:t>
      </w:r>
      <w:proofErr w:type="spellStart"/>
      <w:r w:rsidR="00553276">
        <w:rPr>
          <w:b/>
        </w:rPr>
        <w:t>MR</w:t>
      </w:r>
      <w:proofErr w:type="spellEnd"/>
      <w:r w:rsidR="00553276">
        <w:rPr>
          <w:b/>
        </w:rPr>
        <w:t xml:space="preserve">-DC </w:t>
      </w:r>
      <w:proofErr w:type="spellStart"/>
      <w:r w:rsidR="00553276">
        <w:rPr>
          <w:b/>
        </w:rPr>
        <w:t>UEs</w:t>
      </w:r>
      <w:proofErr w:type="spellEnd"/>
      <w:r w:rsidR="00553276">
        <w:rPr>
          <w:b/>
        </w:rPr>
        <w:t>, network can configure more than one CLI measurement objects</w:t>
      </w:r>
      <w:r w:rsidR="00FE7910">
        <w:rPr>
          <w:b/>
        </w:rPr>
        <w:t xml:space="preserve"> to </w:t>
      </w:r>
      <w:proofErr w:type="spellStart"/>
      <w:r w:rsidR="00FE7910">
        <w:rPr>
          <w:b/>
        </w:rPr>
        <w:t>UE</w:t>
      </w:r>
      <w:proofErr w:type="spellEnd"/>
      <w:r w:rsidR="00FE7910">
        <w:rPr>
          <w:b/>
        </w:rPr>
        <w:t>, and each measurement object associates with a specific</w:t>
      </w:r>
      <w:r w:rsidR="00553276">
        <w:rPr>
          <w:b/>
        </w:rPr>
        <w:t xml:space="preserve"> serving cell</w:t>
      </w:r>
      <w:r w:rsidR="00FE7910">
        <w:rPr>
          <w:b/>
        </w:rPr>
        <w:t xml:space="preserve"> of the </w:t>
      </w:r>
      <w:proofErr w:type="spellStart"/>
      <w:r w:rsidR="00FE7910">
        <w:rPr>
          <w:b/>
        </w:rPr>
        <w:t>UE</w:t>
      </w:r>
      <w:proofErr w:type="spellEnd"/>
      <w:r>
        <w:rPr>
          <w:b/>
        </w:rPr>
        <w:t>.</w:t>
      </w:r>
      <w:r w:rsidR="00BB4896">
        <w:rPr>
          <w:b/>
        </w:rPr>
        <w:t xml:space="preserve"> The measurement/reporting of each CLI MO are independent.</w:t>
      </w:r>
      <w:r>
        <w:rPr>
          <w:b/>
        </w:rPr>
        <w:t xml:space="preserve"> </w:t>
      </w:r>
    </w:p>
    <w:p w14:paraId="3914E5D7" w14:textId="6B9E1347" w:rsidR="001C2551" w:rsidRDefault="001C2551" w:rsidP="003F220A">
      <w:r>
        <w:t xml:space="preserve">Regarding the association between CLI measurement object with serving cell, during email discussion [1], companies raised approach to always indicate CLI resources in serving cell </w:t>
      </w:r>
      <w:proofErr w:type="spellStart"/>
      <w:r>
        <w:t>MOs.</w:t>
      </w:r>
      <w:proofErr w:type="spellEnd"/>
      <w:r>
        <w:t xml:space="preserve"> This is similar to indicating CSI-RS resources and </w:t>
      </w:r>
      <w:proofErr w:type="spellStart"/>
      <w:r>
        <w:t>SSB</w:t>
      </w:r>
      <w:proofErr w:type="spellEnd"/>
      <w:r>
        <w:t xml:space="preserve"> resources in one MO. However, the concern is that, modification any of CLI resources may impact the on-going </w:t>
      </w:r>
      <w:proofErr w:type="spellStart"/>
      <w:r>
        <w:t>SSB</w:t>
      </w:r>
      <w:proofErr w:type="spellEnd"/>
      <w:r>
        <w:t xml:space="preserve"> or CSI-RS measurement (e.g. </w:t>
      </w:r>
      <w:proofErr w:type="spellStart"/>
      <w:r>
        <w:t>UE</w:t>
      </w:r>
      <w:proofErr w:type="spellEnd"/>
      <w:r>
        <w:t xml:space="preserve"> will stop </w:t>
      </w:r>
      <w:proofErr w:type="spellStart"/>
      <w:r>
        <w:t>TimerToTrigger</w:t>
      </w:r>
      <w:proofErr w:type="spellEnd"/>
      <w:r>
        <w:t xml:space="preserve"> timer if starts)</w:t>
      </w:r>
      <w:r w:rsidR="00EB22E0">
        <w:t xml:space="preserve"> when configured in the same MO</w:t>
      </w:r>
      <w:r>
        <w:t xml:space="preserve">, which may cause undesirable delay of </w:t>
      </w:r>
      <w:proofErr w:type="spellStart"/>
      <w:r w:rsidR="00EB22E0">
        <w:t>SSB</w:t>
      </w:r>
      <w:proofErr w:type="spellEnd"/>
      <w:r w:rsidR="00EB22E0">
        <w:t xml:space="preserve">/CSI-RS </w:t>
      </w:r>
      <w:r>
        <w:t xml:space="preserve">measurement reporting. </w:t>
      </w:r>
    </w:p>
    <w:p w14:paraId="5981BDD9" w14:textId="336F28A8" w:rsidR="00553276" w:rsidRDefault="00B91B6A" w:rsidP="003F220A">
      <w:r>
        <w:t xml:space="preserve">Similar problem was discussed in </w:t>
      </w:r>
      <w:r w:rsidR="00961E12">
        <w:t xml:space="preserve">[3]. However, the suggestion of decoupling CSI-RS and </w:t>
      </w:r>
      <w:proofErr w:type="spellStart"/>
      <w:r w:rsidR="00961E12">
        <w:t>SSB</w:t>
      </w:r>
      <w:proofErr w:type="spellEnd"/>
      <w:r w:rsidR="00961E12">
        <w:t xml:space="preserve"> was not agreed in the end due to NBC concern to </w:t>
      </w:r>
      <w:proofErr w:type="spellStart"/>
      <w:r w:rsidR="00961E12">
        <w:t>UE</w:t>
      </w:r>
      <w:proofErr w:type="spellEnd"/>
      <w:r w:rsidR="00961E12">
        <w:t xml:space="preserve"> implementation. So currently, if network wants to avoid such impact, network has to configure CSI-RS resources and </w:t>
      </w:r>
      <w:proofErr w:type="spellStart"/>
      <w:r w:rsidR="00961E12">
        <w:t>SSB</w:t>
      </w:r>
      <w:proofErr w:type="spellEnd"/>
      <w:r w:rsidR="00961E12">
        <w:t xml:space="preserve"> in separate </w:t>
      </w:r>
      <w:proofErr w:type="spellStart"/>
      <w:r w:rsidR="00961E12">
        <w:t>MOs.</w:t>
      </w:r>
      <w:proofErr w:type="spellEnd"/>
      <w:r w:rsidR="00961E12">
        <w:t xml:space="preserve"> Here, for CLI measurement, in case majority companies agree to only configure CLI resources in serving cell MO (i.e. which is mainly configured for </w:t>
      </w:r>
      <w:proofErr w:type="spellStart"/>
      <w:r w:rsidR="00961E12">
        <w:t>SSB</w:t>
      </w:r>
      <w:proofErr w:type="spellEnd"/>
      <w:r w:rsidR="00961E12">
        <w:t xml:space="preserve"> based measurement). Then to avoid the impact on </w:t>
      </w:r>
      <w:proofErr w:type="spellStart"/>
      <w:r w:rsidR="00961E12">
        <w:t>SSB</w:t>
      </w:r>
      <w:proofErr w:type="spellEnd"/>
      <w:r w:rsidR="00961E12">
        <w:t xml:space="preserve">/CSI-RS measurement, </w:t>
      </w:r>
      <w:r w:rsidR="001A0160">
        <w:t xml:space="preserve">the decouple mechanism </w:t>
      </w:r>
      <w:r w:rsidR="00961E12">
        <w:t xml:space="preserve">should be considered at the beginning.    </w:t>
      </w:r>
    </w:p>
    <w:p w14:paraId="479235C7" w14:textId="235E80FE" w:rsidR="005C4591" w:rsidRDefault="00562C69" w:rsidP="00562C69">
      <w:pPr>
        <w:spacing w:before="156" w:line="276" w:lineRule="auto"/>
        <w:ind w:left="993" w:hanging="993"/>
        <w:rPr>
          <w:b/>
        </w:rPr>
      </w:pPr>
      <w:r>
        <w:rPr>
          <w:b/>
        </w:rPr>
        <w:lastRenderedPageBreak/>
        <w:t xml:space="preserve">Proposal </w:t>
      </w:r>
      <w:r w:rsidR="001A0160">
        <w:rPr>
          <w:b/>
        </w:rPr>
        <w:t>3</w:t>
      </w:r>
      <w:r>
        <w:rPr>
          <w:b/>
        </w:rPr>
        <w:t xml:space="preserve">: </w:t>
      </w:r>
      <w:r w:rsidR="001A0160">
        <w:rPr>
          <w:b/>
        </w:rPr>
        <w:t xml:space="preserve">In case companies agree to only configure CLI resources in serving cell MO, the modification (e.g. add/remove/modify) of CLI resources in the MO should not impact the ongoing </w:t>
      </w:r>
      <w:proofErr w:type="spellStart"/>
      <w:r w:rsidR="001A0160">
        <w:rPr>
          <w:b/>
        </w:rPr>
        <w:t>SSB</w:t>
      </w:r>
      <w:proofErr w:type="spellEnd"/>
      <w:r w:rsidR="001A0160">
        <w:rPr>
          <w:b/>
        </w:rPr>
        <w:t xml:space="preserve">/CSI-RS measurement configured </w:t>
      </w:r>
      <w:r w:rsidR="006040B4">
        <w:rPr>
          <w:b/>
        </w:rPr>
        <w:t>by</w:t>
      </w:r>
      <w:r w:rsidR="001A0160">
        <w:rPr>
          <w:b/>
        </w:rPr>
        <w:t xml:space="preserve"> the same MO</w:t>
      </w:r>
      <w:r>
        <w:rPr>
          <w:b/>
        </w:rPr>
        <w:t xml:space="preserve">. </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proofErr w:type="spellStart"/>
      <w:r>
        <w:rPr>
          <w:sz w:val="22"/>
        </w:rPr>
        <w:t>RAN2</w:t>
      </w:r>
      <w:proofErr w:type="spellEnd"/>
      <w:r>
        <w:rPr>
          <w:sz w:val="22"/>
        </w:rPr>
        <w:t xml:space="preserve"> is kindly </w:t>
      </w:r>
      <w:r>
        <w:rPr>
          <w:rFonts w:hint="eastAsia"/>
        </w:rPr>
        <w:t xml:space="preserve">asked </w:t>
      </w:r>
      <w:r>
        <w:rPr>
          <w:sz w:val="22"/>
        </w:rPr>
        <w:t>to discuss and adopt the following proposal</w:t>
      </w:r>
      <w:r>
        <w:t>:</w:t>
      </w:r>
    </w:p>
    <w:p w14:paraId="0532FBD8" w14:textId="77777777" w:rsidR="002358F4" w:rsidRPr="00774E75" w:rsidRDefault="002358F4" w:rsidP="002358F4">
      <w:pPr>
        <w:spacing w:before="120" w:after="120"/>
        <w:ind w:left="1276" w:hanging="1276"/>
        <w:rPr>
          <w:b/>
        </w:rPr>
      </w:pPr>
      <w:bookmarkStart w:id="2" w:name="_Toc535476034"/>
      <w:r>
        <w:rPr>
          <w:b/>
        </w:rPr>
        <w:t>Observation</w:t>
      </w:r>
      <w:r w:rsidRPr="00184214">
        <w:rPr>
          <w:rFonts w:hint="eastAsia"/>
          <w:b/>
        </w:rPr>
        <w:t xml:space="preserve"> </w:t>
      </w:r>
      <w:r w:rsidRPr="00184214">
        <w:rPr>
          <w:b/>
        </w:rPr>
        <w:t>1</w:t>
      </w:r>
      <w:r w:rsidRPr="00184214">
        <w:rPr>
          <w:rFonts w:hint="eastAsia"/>
          <w:b/>
        </w:rPr>
        <w:t xml:space="preserve">:  </w:t>
      </w:r>
      <w:r>
        <w:rPr>
          <w:b/>
        </w:rPr>
        <w:t xml:space="preserve">The meaning of “per serving cell” in </w:t>
      </w:r>
      <w:proofErr w:type="spellStart"/>
      <w:r>
        <w:rPr>
          <w:b/>
        </w:rPr>
        <w:t>RAN1</w:t>
      </w:r>
      <w:proofErr w:type="spellEnd"/>
      <w:r>
        <w:rPr>
          <w:b/>
        </w:rPr>
        <w:t xml:space="preserve"> agreement</w:t>
      </w:r>
      <w:r w:rsidRPr="00774E75">
        <w:rPr>
          <w:b/>
        </w:rPr>
        <w:t xml:space="preserve"> </w:t>
      </w:r>
      <w:r>
        <w:rPr>
          <w:b/>
        </w:rPr>
        <w:t xml:space="preserve">is unclear from </w:t>
      </w:r>
      <w:proofErr w:type="spellStart"/>
      <w:r>
        <w:rPr>
          <w:b/>
        </w:rPr>
        <w:t>RAN2</w:t>
      </w:r>
      <w:proofErr w:type="spellEnd"/>
      <w:r>
        <w:rPr>
          <w:b/>
        </w:rPr>
        <w:t xml:space="preserve"> perspective.</w:t>
      </w:r>
    </w:p>
    <w:p w14:paraId="27A03EC5" w14:textId="7F52CFBA" w:rsidR="002358F4" w:rsidRDefault="002358F4" w:rsidP="002358F4">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The SRS resources </w:t>
      </w:r>
      <w:r w:rsidR="00234DEA">
        <w:rPr>
          <w:b/>
        </w:rPr>
        <w:t xml:space="preserve">configured </w:t>
      </w:r>
      <w:r>
        <w:rPr>
          <w:b/>
        </w:rPr>
        <w:t xml:space="preserve">in CLI measurement are transmitted by potential aggressor </w:t>
      </w:r>
      <w:proofErr w:type="spellStart"/>
      <w:r>
        <w:rPr>
          <w:b/>
        </w:rPr>
        <w:t>UEs</w:t>
      </w:r>
      <w:proofErr w:type="spellEnd"/>
      <w:r>
        <w:rPr>
          <w:b/>
        </w:rPr>
        <w:t xml:space="preserve"> in neighbour cells. </w:t>
      </w:r>
    </w:p>
    <w:p w14:paraId="6DFB51EE" w14:textId="77777777" w:rsidR="002358F4" w:rsidRPr="00774E75" w:rsidRDefault="002358F4" w:rsidP="002358F4">
      <w:pPr>
        <w:spacing w:before="120" w:after="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The bandwidth of SRS resources in CLI measurement can be large, while the victim </w:t>
      </w:r>
      <w:proofErr w:type="spellStart"/>
      <w:r>
        <w:rPr>
          <w:b/>
        </w:rPr>
        <w:t>UE</w:t>
      </w:r>
      <w:proofErr w:type="spellEnd"/>
      <w:r>
        <w:rPr>
          <w:b/>
        </w:rPr>
        <w:t xml:space="preserve"> is only required to measure the overlapped SRS resource part upon active BWP switching.</w:t>
      </w:r>
    </w:p>
    <w:p w14:paraId="226AB4EA" w14:textId="77777777" w:rsidR="002358F4" w:rsidRPr="00553276" w:rsidRDefault="002358F4" w:rsidP="002358F4">
      <w:pPr>
        <w:spacing w:before="120" w:after="120"/>
        <w:ind w:left="1276" w:hanging="1276"/>
        <w:rPr>
          <w:b/>
        </w:rPr>
      </w:pPr>
      <w:r>
        <w:rPr>
          <w:b/>
        </w:rPr>
        <w:t>Observation</w:t>
      </w:r>
      <w:r w:rsidRPr="00184214">
        <w:rPr>
          <w:rFonts w:hint="eastAsia"/>
          <w:b/>
        </w:rPr>
        <w:t xml:space="preserve"> </w:t>
      </w:r>
      <w:r>
        <w:rPr>
          <w:b/>
        </w:rPr>
        <w:t>4</w:t>
      </w:r>
      <w:r w:rsidRPr="00184214">
        <w:rPr>
          <w:rFonts w:hint="eastAsia"/>
          <w:b/>
        </w:rPr>
        <w:t xml:space="preserve">:  </w:t>
      </w:r>
      <w:r>
        <w:rPr>
          <w:b/>
        </w:rPr>
        <w:t xml:space="preserve">From network point of view, CLI issue may happen in </w:t>
      </w:r>
      <w:proofErr w:type="spellStart"/>
      <w:r>
        <w:rPr>
          <w:b/>
        </w:rPr>
        <w:t>PCell</w:t>
      </w:r>
      <w:proofErr w:type="spellEnd"/>
      <w:r>
        <w:rPr>
          <w:b/>
        </w:rPr>
        <w:t xml:space="preserve">, </w:t>
      </w:r>
      <w:proofErr w:type="spellStart"/>
      <w:r>
        <w:rPr>
          <w:b/>
        </w:rPr>
        <w:t>PSCell</w:t>
      </w:r>
      <w:proofErr w:type="spellEnd"/>
      <w:r>
        <w:rPr>
          <w:b/>
        </w:rPr>
        <w:t xml:space="preserve"> as well as </w:t>
      </w:r>
      <w:proofErr w:type="spellStart"/>
      <w:r>
        <w:rPr>
          <w:b/>
        </w:rPr>
        <w:t>SCell</w:t>
      </w:r>
      <w:proofErr w:type="spellEnd"/>
      <w:r>
        <w:rPr>
          <w:b/>
        </w:rPr>
        <w:t>.</w:t>
      </w:r>
    </w:p>
    <w:p w14:paraId="72AB39B7" w14:textId="6A4E121B" w:rsidR="002358F4" w:rsidRDefault="002358F4" w:rsidP="002358F4">
      <w:pPr>
        <w:spacing w:before="156" w:line="276" w:lineRule="auto"/>
        <w:ind w:left="993" w:hanging="993"/>
        <w:rPr>
          <w:b/>
        </w:rPr>
      </w:pPr>
      <w:r>
        <w:rPr>
          <w:b/>
        </w:rPr>
        <w:t xml:space="preserve">Proposal 1: CLI measurement is supported </w:t>
      </w:r>
      <w:r w:rsidR="006040B4">
        <w:rPr>
          <w:b/>
        </w:rPr>
        <w:t xml:space="preserve">for </w:t>
      </w:r>
      <w:proofErr w:type="spellStart"/>
      <w:r w:rsidR="006040B4">
        <w:rPr>
          <w:b/>
        </w:rPr>
        <w:t>UEs</w:t>
      </w:r>
      <w:proofErr w:type="spellEnd"/>
      <w:r w:rsidR="006040B4">
        <w:rPr>
          <w:b/>
        </w:rPr>
        <w:t xml:space="preserve"> configured with CA, EN-DC or </w:t>
      </w:r>
      <w:proofErr w:type="spellStart"/>
      <w:r w:rsidR="006040B4">
        <w:rPr>
          <w:b/>
        </w:rPr>
        <w:t>MR</w:t>
      </w:r>
      <w:proofErr w:type="spellEnd"/>
      <w:r w:rsidR="006040B4">
        <w:rPr>
          <w:b/>
        </w:rPr>
        <w:t>-DC.</w:t>
      </w:r>
    </w:p>
    <w:p w14:paraId="28E878FD" w14:textId="77777777" w:rsidR="002358F4" w:rsidRDefault="002358F4" w:rsidP="002358F4">
      <w:pPr>
        <w:spacing w:before="156" w:line="276" w:lineRule="auto"/>
        <w:ind w:left="993" w:hanging="993"/>
        <w:rPr>
          <w:b/>
        </w:rPr>
      </w:pPr>
      <w:r>
        <w:rPr>
          <w:b/>
        </w:rPr>
        <w:t xml:space="preserve">Proposal 2: For CA, EN-DC, </w:t>
      </w:r>
      <w:proofErr w:type="spellStart"/>
      <w:r>
        <w:rPr>
          <w:b/>
        </w:rPr>
        <w:t>MR</w:t>
      </w:r>
      <w:proofErr w:type="spellEnd"/>
      <w:r>
        <w:rPr>
          <w:b/>
        </w:rPr>
        <w:t xml:space="preserve">-DC </w:t>
      </w:r>
      <w:proofErr w:type="spellStart"/>
      <w:r>
        <w:rPr>
          <w:b/>
        </w:rPr>
        <w:t>UEs</w:t>
      </w:r>
      <w:proofErr w:type="spellEnd"/>
      <w:r>
        <w:rPr>
          <w:b/>
        </w:rPr>
        <w:t xml:space="preserve">, network can configure more than one CLI measurement objects to </w:t>
      </w:r>
      <w:proofErr w:type="spellStart"/>
      <w:r>
        <w:rPr>
          <w:b/>
        </w:rPr>
        <w:t>UE</w:t>
      </w:r>
      <w:proofErr w:type="spellEnd"/>
      <w:r>
        <w:rPr>
          <w:b/>
        </w:rPr>
        <w:t xml:space="preserve">, and each measurement object associates with a specific serving cell of the </w:t>
      </w:r>
      <w:proofErr w:type="spellStart"/>
      <w:r>
        <w:rPr>
          <w:b/>
        </w:rPr>
        <w:t>UE</w:t>
      </w:r>
      <w:proofErr w:type="spellEnd"/>
      <w:r>
        <w:rPr>
          <w:b/>
        </w:rPr>
        <w:t xml:space="preserve">. </w:t>
      </w:r>
    </w:p>
    <w:p w14:paraId="4AD05BC3" w14:textId="214A37AA" w:rsidR="002358F4" w:rsidRDefault="002358F4" w:rsidP="002358F4">
      <w:pPr>
        <w:spacing w:before="156" w:line="276" w:lineRule="auto"/>
        <w:ind w:left="993" w:hanging="993"/>
        <w:rPr>
          <w:b/>
        </w:rPr>
      </w:pPr>
      <w:r>
        <w:rPr>
          <w:b/>
        </w:rPr>
        <w:t xml:space="preserve">Proposal 3: In case companies agree to only configure CLI resources in serving cell MO, the modification (e.g. add/remove/modify) of CLI resources in the MO should not impact the ongoing </w:t>
      </w:r>
      <w:proofErr w:type="spellStart"/>
      <w:r>
        <w:rPr>
          <w:b/>
        </w:rPr>
        <w:t>SSB</w:t>
      </w:r>
      <w:proofErr w:type="spellEnd"/>
      <w:r>
        <w:rPr>
          <w:b/>
        </w:rPr>
        <w:t xml:space="preserve">/CSI-RS measurement configured </w:t>
      </w:r>
      <w:r w:rsidR="006040B4">
        <w:rPr>
          <w:b/>
        </w:rPr>
        <w:t>by</w:t>
      </w:r>
      <w:r>
        <w:rPr>
          <w:b/>
        </w:rPr>
        <w:t xml:space="preserve"> the same MO. </w:t>
      </w:r>
      <w:bookmarkStart w:id="3" w:name="_GoBack"/>
      <w:bookmarkEnd w:id="3"/>
    </w:p>
    <w:p w14:paraId="7AB5E935" w14:textId="376DF3FF" w:rsidR="002E361D" w:rsidRDefault="002E361D" w:rsidP="002E361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FEEFBE2" w14:textId="0C011FCB" w:rsidR="002358F4" w:rsidRDefault="002E361D" w:rsidP="00571902">
      <w:r>
        <w:t xml:space="preserve">[1] </w:t>
      </w:r>
      <w:r w:rsidR="002358F4">
        <w:t>Email discussion [106#39</w:t>
      </w:r>
      <w:proofErr w:type="gramStart"/>
      <w:r w:rsidR="002358F4">
        <w:t>][</w:t>
      </w:r>
      <w:proofErr w:type="gramEnd"/>
      <w:r w:rsidR="002358F4">
        <w:t>CLI] Measurement object and event triggers     LG Electronics</w:t>
      </w:r>
    </w:p>
    <w:p w14:paraId="18E643CE" w14:textId="0536794E" w:rsidR="00A421DA" w:rsidRDefault="002358F4" w:rsidP="00571902">
      <w:r>
        <w:t xml:space="preserve">[2] </w:t>
      </w:r>
      <w:r w:rsidR="00385950">
        <w:t>RP-191546</w:t>
      </w:r>
      <w:r w:rsidR="00A421DA">
        <w:t xml:space="preserve">    </w:t>
      </w:r>
      <w:r w:rsidR="00385950">
        <w:t xml:space="preserve">revised </w:t>
      </w:r>
      <w:proofErr w:type="spellStart"/>
      <w:r w:rsidR="00385950">
        <w:t>WID</w:t>
      </w:r>
      <w:proofErr w:type="spellEnd"/>
      <w:r w:rsidR="00385950">
        <w:t xml:space="preserve"> on Cross Link Interference (CLI) handling and Remote Interference Management</w:t>
      </w:r>
      <w:r w:rsidR="0053175C">
        <w:t xml:space="preserve"> </w:t>
      </w:r>
      <w:r w:rsidR="00385950">
        <w:t>(RIM) for NR     LG Electronics</w:t>
      </w:r>
    </w:p>
    <w:p w14:paraId="49AB42C3" w14:textId="0D0945E0" w:rsidR="00571902" w:rsidRDefault="002358F4" w:rsidP="00571902">
      <w:r>
        <w:t>[3</w:t>
      </w:r>
      <w:r w:rsidR="00A421DA">
        <w:t>]</w:t>
      </w:r>
      <w:r>
        <w:t xml:space="preserve"> </w:t>
      </w:r>
      <w:proofErr w:type="spellStart"/>
      <w:r>
        <w:t>R2</w:t>
      </w:r>
      <w:proofErr w:type="spellEnd"/>
      <w:r>
        <w:t>-</w:t>
      </w:r>
      <w:proofErr w:type="gramStart"/>
      <w:r>
        <w:t>1818363  On</w:t>
      </w:r>
      <w:proofErr w:type="gramEnd"/>
      <w:r>
        <w:t xml:space="preserve"> </w:t>
      </w:r>
      <w:proofErr w:type="spellStart"/>
      <w:r>
        <w:t>measObject</w:t>
      </w:r>
      <w:proofErr w:type="spellEnd"/>
      <w:r>
        <w:t xml:space="preserve"> update related </w:t>
      </w:r>
      <w:proofErr w:type="spellStart"/>
      <w:r>
        <w:t>UE</w:t>
      </w:r>
      <w:proofErr w:type="spellEnd"/>
      <w:r>
        <w:t xml:space="preserve"> actions</w:t>
      </w:r>
      <w:r>
        <w:tab/>
        <w:t>Ericsson</w:t>
      </w:r>
      <w:r>
        <w:tab/>
        <w:t>discussion</w:t>
      </w:r>
      <w:r w:rsidR="00B57CCE">
        <w:t xml:space="preserve"> </w:t>
      </w:r>
      <w:r w:rsidR="00853E87">
        <w:t xml:space="preserve">  </w:t>
      </w:r>
      <w:bookmarkEnd w:id="2"/>
    </w:p>
    <w:sectPr w:rsidR="00571902">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48F1B" w14:textId="77777777" w:rsidR="00AE7DE7" w:rsidRDefault="00AE7DE7">
      <w:pPr>
        <w:spacing w:before="120" w:after="0"/>
      </w:pPr>
      <w:r>
        <w:separator/>
      </w:r>
    </w:p>
  </w:endnote>
  <w:endnote w:type="continuationSeparator" w:id="0">
    <w:p w14:paraId="4B661125" w14:textId="77777777" w:rsidR="00AE7DE7" w:rsidRDefault="00AE7DE7">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E733FF" w:rsidRDefault="00E733FF">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E733FF" w:rsidRDefault="00E733FF">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E733FF" w:rsidRDefault="00E733FF">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E733FF" w:rsidRDefault="00E733FF">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42D30" w14:textId="77777777" w:rsidR="00AE7DE7" w:rsidRDefault="00AE7DE7">
      <w:pPr>
        <w:spacing w:before="120" w:after="0"/>
      </w:pPr>
      <w:r>
        <w:separator/>
      </w:r>
    </w:p>
  </w:footnote>
  <w:footnote w:type="continuationSeparator" w:id="0">
    <w:p w14:paraId="547E3127" w14:textId="77777777" w:rsidR="00AE7DE7" w:rsidRDefault="00AE7DE7">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E733FF" w:rsidRDefault="00E733FF">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E733FF" w:rsidRDefault="00E733F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E733FF" w:rsidRDefault="00E733FF">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8">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0">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8B0AA1"/>
    <w:multiLevelType w:val="hybridMultilevel"/>
    <w:tmpl w:val="99B08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6685A"/>
    <w:multiLevelType w:val="hybridMultilevel"/>
    <w:tmpl w:val="03DEC4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7">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8">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2">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3"/>
  </w:num>
  <w:num w:numId="4">
    <w:abstractNumId w:val="27"/>
  </w:num>
  <w:num w:numId="5">
    <w:abstractNumId w:val="4"/>
  </w:num>
  <w:num w:numId="6">
    <w:abstractNumId w:val="5"/>
  </w:num>
  <w:num w:numId="7">
    <w:abstractNumId w:val="9"/>
  </w:num>
  <w:num w:numId="8">
    <w:abstractNumId w:val="24"/>
  </w:num>
  <w:num w:numId="9">
    <w:abstractNumId w:val="2"/>
  </w:num>
  <w:num w:numId="10">
    <w:abstractNumId w:val="16"/>
  </w:num>
  <w:num w:numId="11">
    <w:abstractNumId w:val="26"/>
  </w:num>
  <w:num w:numId="12">
    <w:abstractNumId w:val="21"/>
  </w:num>
  <w:num w:numId="13">
    <w:abstractNumId w:val="15"/>
  </w:num>
  <w:num w:numId="14">
    <w:abstractNumId w:val="17"/>
  </w:num>
  <w:num w:numId="15">
    <w:abstractNumId w:val="23"/>
  </w:num>
  <w:num w:numId="16">
    <w:abstractNumId w:val="7"/>
  </w:num>
  <w:num w:numId="17">
    <w:abstractNumId w:val="1"/>
  </w:num>
  <w:num w:numId="18">
    <w:abstractNumId w:val="12"/>
  </w:num>
  <w:num w:numId="19">
    <w:abstractNumId w:val="22"/>
  </w:num>
  <w:num w:numId="20">
    <w:abstractNumId w:val="6"/>
  </w:num>
  <w:num w:numId="21">
    <w:abstractNumId w:val="25"/>
  </w:num>
  <w:num w:numId="22">
    <w:abstractNumId w:val="10"/>
  </w:num>
  <w:num w:numId="23">
    <w:abstractNumId w:val="8"/>
  </w:num>
  <w:num w:numId="24">
    <w:abstractNumId w:val="18"/>
  </w:num>
  <w:num w:numId="25">
    <w:abstractNumId w:val="14"/>
  </w:num>
  <w:num w:numId="26">
    <w:abstractNumId w:val="20"/>
  </w:num>
  <w:num w:numId="27">
    <w:abstractNumId w:val="11"/>
  </w:num>
  <w:num w:numId="2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7973"/>
    <w:rsid w:val="00040A63"/>
    <w:rsid w:val="0004105F"/>
    <w:rsid w:val="000424DB"/>
    <w:rsid w:val="00042E6F"/>
    <w:rsid w:val="00043923"/>
    <w:rsid w:val="000439F7"/>
    <w:rsid w:val="0004506E"/>
    <w:rsid w:val="00046160"/>
    <w:rsid w:val="000563ED"/>
    <w:rsid w:val="00057DA8"/>
    <w:rsid w:val="00062DCF"/>
    <w:rsid w:val="0007093A"/>
    <w:rsid w:val="0007205B"/>
    <w:rsid w:val="000720EB"/>
    <w:rsid w:val="000755A8"/>
    <w:rsid w:val="00076824"/>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31AA"/>
    <w:rsid w:val="000B38F6"/>
    <w:rsid w:val="000B42B0"/>
    <w:rsid w:val="000B4B76"/>
    <w:rsid w:val="000B5C88"/>
    <w:rsid w:val="000B65CB"/>
    <w:rsid w:val="000B780E"/>
    <w:rsid w:val="000C0353"/>
    <w:rsid w:val="000C2659"/>
    <w:rsid w:val="000C2690"/>
    <w:rsid w:val="000C364E"/>
    <w:rsid w:val="000C5D4C"/>
    <w:rsid w:val="000C7FC7"/>
    <w:rsid w:val="000D18C5"/>
    <w:rsid w:val="000D1EF9"/>
    <w:rsid w:val="000D2BF9"/>
    <w:rsid w:val="000D59AA"/>
    <w:rsid w:val="000E1125"/>
    <w:rsid w:val="000E1993"/>
    <w:rsid w:val="000E3B8A"/>
    <w:rsid w:val="000E4C9C"/>
    <w:rsid w:val="000E6AE2"/>
    <w:rsid w:val="000F0A7B"/>
    <w:rsid w:val="000F451B"/>
    <w:rsid w:val="00100030"/>
    <w:rsid w:val="0010484A"/>
    <w:rsid w:val="00104C1F"/>
    <w:rsid w:val="00111C96"/>
    <w:rsid w:val="00111CE0"/>
    <w:rsid w:val="00111DF0"/>
    <w:rsid w:val="001135C5"/>
    <w:rsid w:val="001147C0"/>
    <w:rsid w:val="00114AAE"/>
    <w:rsid w:val="00124C4C"/>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5732D"/>
    <w:rsid w:val="00160A40"/>
    <w:rsid w:val="00160DA4"/>
    <w:rsid w:val="001627D9"/>
    <w:rsid w:val="0016373F"/>
    <w:rsid w:val="00171FF9"/>
    <w:rsid w:val="0017245C"/>
    <w:rsid w:val="00172A27"/>
    <w:rsid w:val="00172AF8"/>
    <w:rsid w:val="00175874"/>
    <w:rsid w:val="001767E6"/>
    <w:rsid w:val="00176AC2"/>
    <w:rsid w:val="001802FB"/>
    <w:rsid w:val="001806A8"/>
    <w:rsid w:val="00180939"/>
    <w:rsid w:val="00180983"/>
    <w:rsid w:val="0018310D"/>
    <w:rsid w:val="00184214"/>
    <w:rsid w:val="00184452"/>
    <w:rsid w:val="00187FEF"/>
    <w:rsid w:val="00190A8D"/>
    <w:rsid w:val="001930BE"/>
    <w:rsid w:val="0019400F"/>
    <w:rsid w:val="0019547D"/>
    <w:rsid w:val="00195E1F"/>
    <w:rsid w:val="00196645"/>
    <w:rsid w:val="00197997"/>
    <w:rsid w:val="001A0160"/>
    <w:rsid w:val="001A36F7"/>
    <w:rsid w:val="001A384E"/>
    <w:rsid w:val="001A3C20"/>
    <w:rsid w:val="001A4015"/>
    <w:rsid w:val="001A6AFD"/>
    <w:rsid w:val="001B21A1"/>
    <w:rsid w:val="001B337C"/>
    <w:rsid w:val="001B5AE5"/>
    <w:rsid w:val="001B7027"/>
    <w:rsid w:val="001B7C67"/>
    <w:rsid w:val="001C0CED"/>
    <w:rsid w:val="001C1105"/>
    <w:rsid w:val="001C17C6"/>
    <w:rsid w:val="001C18D3"/>
    <w:rsid w:val="001C22DE"/>
    <w:rsid w:val="001C2551"/>
    <w:rsid w:val="001C27C7"/>
    <w:rsid w:val="001C3C4C"/>
    <w:rsid w:val="001C7B80"/>
    <w:rsid w:val="001D1BF6"/>
    <w:rsid w:val="001D2914"/>
    <w:rsid w:val="001D2FB0"/>
    <w:rsid w:val="001E0341"/>
    <w:rsid w:val="001E1C36"/>
    <w:rsid w:val="001E1E3C"/>
    <w:rsid w:val="001E3D8C"/>
    <w:rsid w:val="001E43EF"/>
    <w:rsid w:val="001E44CD"/>
    <w:rsid w:val="001E6F40"/>
    <w:rsid w:val="001F3DF5"/>
    <w:rsid w:val="001F4346"/>
    <w:rsid w:val="001F5EDA"/>
    <w:rsid w:val="001F7E3A"/>
    <w:rsid w:val="00201FFE"/>
    <w:rsid w:val="00202C4B"/>
    <w:rsid w:val="00206380"/>
    <w:rsid w:val="0021293D"/>
    <w:rsid w:val="002132A0"/>
    <w:rsid w:val="002155FA"/>
    <w:rsid w:val="002176DE"/>
    <w:rsid w:val="00222656"/>
    <w:rsid w:val="0022388D"/>
    <w:rsid w:val="00223B64"/>
    <w:rsid w:val="0023029F"/>
    <w:rsid w:val="00231281"/>
    <w:rsid w:val="00231DC2"/>
    <w:rsid w:val="002333B7"/>
    <w:rsid w:val="0023441E"/>
    <w:rsid w:val="002344F2"/>
    <w:rsid w:val="00234DEA"/>
    <w:rsid w:val="002358F4"/>
    <w:rsid w:val="002368E4"/>
    <w:rsid w:val="002414D9"/>
    <w:rsid w:val="00241832"/>
    <w:rsid w:val="00244D42"/>
    <w:rsid w:val="00246FFA"/>
    <w:rsid w:val="00247076"/>
    <w:rsid w:val="00252B94"/>
    <w:rsid w:val="00255E19"/>
    <w:rsid w:val="002563B4"/>
    <w:rsid w:val="00256C2E"/>
    <w:rsid w:val="00257233"/>
    <w:rsid w:val="00260716"/>
    <w:rsid w:val="0026193E"/>
    <w:rsid w:val="00261A9C"/>
    <w:rsid w:val="00262518"/>
    <w:rsid w:val="00262C9D"/>
    <w:rsid w:val="00265433"/>
    <w:rsid w:val="00270A1C"/>
    <w:rsid w:val="00271ED8"/>
    <w:rsid w:val="00271FEE"/>
    <w:rsid w:val="002730ED"/>
    <w:rsid w:val="0027451C"/>
    <w:rsid w:val="00275BC1"/>
    <w:rsid w:val="0027635A"/>
    <w:rsid w:val="00280857"/>
    <w:rsid w:val="00281718"/>
    <w:rsid w:val="00281B15"/>
    <w:rsid w:val="0028219B"/>
    <w:rsid w:val="002855D0"/>
    <w:rsid w:val="00290E18"/>
    <w:rsid w:val="00291D54"/>
    <w:rsid w:val="00294ECF"/>
    <w:rsid w:val="00295950"/>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1DDF"/>
    <w:rsid w:val="002E28F9"/>
    <w:rsid w:val="002E361D"/>
    <w:rsid w:val="002E7525"/>
    <w:rsid w:val="002E7C9E"/>
    <w:rsid w:val="002F01CA"/>
    <w:rsid w:val="002F1163"/>
    <w:rsid w:val="002F2D00"/>
    <w:rsid w:val="002F3161"/>
    <w:rsid w:val="002F4528"/>
    <w:rsid w:val="002F50DB"/>
    <w:rsid w:val="002F5517"/>
    <w:rsid w:val="003024EA"/>
    <w:rsid w:val="00305358"/>
    <w:rsid w:val="003063B6"/>
    <w:rsid w:val="0030650B"/>
    <w:rsid w:val="00310D27"/>
    <w:rsid w:val="00312C1A"/>
    <w:rsid w:val="00312DD1"/>
    <w:rsid w:val="00313308"/>
    <w:rsid w:val="003144CA"/>
    <w:rsid w:val="003171FD"/>
    <w:rsid w:val="003177B1"/>
    <w:rsid w:val="00321077"/>
    <w:rsid w:val="00322EDB"/>
    <w:rsid w:val="003268BB"/>
    <w:rsid w:val="00330072"/>
    <w:rsid w:val="00330B4E"/>
    <w:rsid w:val="0033176D"/>
    <w:rsid w:val="00333D6C"/>
    <w:rsid w:val="0033426F"/>
    <w:rsid w:val="00335B60"/>
    <w:rsid w:val="00336046"/>
    <w:rsid w:val="00340AAF"/>
    <w:rsid w:val="003436BE"/>
    <w:rsid w:val="00345FC0"/>
    <w:rsid w:val="003469FC"/>
    <w:rsid w:val="003472E7"/>
    <w:rsid w:val="00347800"/>
    <w:rsid w:val="003504B5"/>
    <w:rsid w:val="003546A6"/>
    <w:rsid w:val="00354915"/>
    <w:rsid w:val="00354E6F"/>
    <w:rsid w:val="00357465"/>
    <w:rsid w:val="003577BE"/>
    <w:rsid w:val="003601A9"/>
    <w:rsid w:val="00362FCF"/>
    <w:rsid w:val="0036468F"/>
    <w:rsid w:val="00366993"/>
    <w:rsid w:val="00370E0A"/>
    <w:rsid w:val="00371876"/>
    <w:rsid w:val="0037293C"/>
    <w:rsid w:val="00372C00"/>
    <w:rsid w:val="00381312"/>
    <w:rsid w:val="00382FAE"/>
    <w:rsid w:val="003832DC"/>
    <w:rsid w:val="00384541"/>
    <w:rsid w:val="00385950"/>
    <w:rsid w:val="00385C87"/>
    <w:rsid w:val="00386B90"/>
    <w:rsid w:val="00387F14"/>
    <w:rsid w:val="00391402"/>
    <w:rsid w:val="003918F4"/>
    <w:rsid w:val="00391F87"/>
    <w:rsid w:val="00393338"/>
    <w:rsid w:val="00394FC5"/>
    <w:rsid w:val="00396952"/>
    <w:rsid w:val="00397AB2"/>
    <w:rsid w:val="003A150D"/>
    <w:rsid w:val="003A2A06"/>
    <w:rsid w:val="003A3ACC"/>
    <w:rsid w:val="003A4C78"/>
    <w:rsid w:val="003A552B"/>
    <w:rsid w:val="003A5554"/>
    <w:rsid w:val="003B132E"/>
    <w:rsid w:val="003B139B"/>
    <w:rsid w:val="003B3A50"/>
    <w:rsid w:val="003B448B"/>
    <w:rsid w:val="003B56A0"/>
    <w:rsid w:val="003B6027"/>
    <w:rsid w:val="003C3E62"/>
    <w:rsid w:val="003D01E0"/>
    <w:rsid w:val="003D03EC"/>
    <w:rsid w:val="003D0EF8"/>
    <w:rsid w:val="003D1455"/>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28A3"/>
    <w:rsid w:val="004229AC"/>
    <w:rsid w:val="00423D3B"/>
    <w:rsid w:val="004245A3"/>
    <w:rsid w:val="00424A48"/>
    <w:rsid w:val="004274EC"/>
    <w:rsid w:val="00427917"/>
    <w:rsid w:val="00436238"/>
    <w:rsid w:val="00441EB5"/>
    <w:rsid w:val="004431CC"/>
    <w:rsid w:val="0044341B"/>
    <w:rsid w:val="00443D84"/>
    <w:rsid w:val="00444F7D"/>
    <w:rsid w:val="00445007"/>
    <w:rsid w:val="00446514"/>
    <w:rsid w:val="00446A9B"/>
    <w:rsid w:val="0045201C"/>
    <w:rsid w:val="00452DD1"/>
    <w:rsid w:val="00453750"/>
    <w:rsid w:val="00455976"/>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77710"/>
    <w:rsid w:val="0048006F"/>
    <w:rsid w:val="00482BBB"/>
    <w:rsid w:val="00485114"/>
    <w:rsid w:val="00485AE4"/>
    <w:rsid w:val="00486111"/>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C0B5E"/>
    <w:rsid w:val="004C16C3"/>
    <w:rsid w:val="004C16F8"/>
    <w:rsid w:val="004C3E66"/>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7762"/>
    <w:rsid w:val="00501570"/>
    <w:rsid w:val="005017DA"/>
    <w:rsid w:val="0050411A"/>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4565"/>
    <w:rsid w:val="00525585"/>
    <w:rsid w:val="0052657B"/>
    <w:rsid w:val="005312B1"/>
    <w:rsid w:val="0053175C"/>
    <w:rsid w:val="005344B3"/>
    <w:rsid w:val="00534869"/>
    <w:rsid w:val="00534D4B"/>
    <w:rsid w:val="005371D2"/>
    <w:rsid w:val="00537528"/>
    <w:rsid w:val="00542ED7"/>
    <w:rsid w:val="00545A76"/>
    <w:rsid w:val="005506C7"/>
    <w:rsid w:val="00550E39"/>
    <w:rsid w:val="005514AA"/>
    <w:rsid w:val="00553276"/>
    <w:rsid w:val="005557B3"/>
    <w:rsid w:val="00555A68"/>
    <w:rsid w:val="0055689F"/>
    <w:rsid w:val="005603EF"/>
    <w:rsid w:val="00561349"/>
    <w:rsid w:val="00562AA1"/>
    <w:rsid w:val="00562B8C"/>
    <w:rsid w:val="00562C69"/>
    <w:rsid w:val="005657FC"/>
    <w:rsid w:val="00567054"/>
    <w:rsid w:val="00567294"/>
    <w:rsid w:val="00567A9A"/>
    <w:rsid w:val="00570240"/>
    <w:rsid w:val="00570FEC"/>
    <w:rsid w:val="005714C0"/>
    <w:rsid w:val="00571902"/>
    <w:rsid w:val="00571A8C"/>
    <w:rsid w:val="00572427"/>
    <w:rsid w:val="0057377D"/>
    <w:rsid w:val="00580518"/>
    <w:rsid w:val="0058507F"/>
    <w:rsid w:val="00585DF6"/>
    <w:rsid w:val="00585E04"/>
    <w:rsid w:val="005910DD"/>
    <w:rsid w:val="005920BC"/>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591"/>
    <w:rsid w:val="005C5334"/>
    <w:rsid w:val="005C6D0C"/>
    <w:rsid w:val="005D0523"/>
    <w:rsid w:val="005D1368"/>
    <w:rsid w:val="005D57F1"/>
    <w:rsid w:val="005D680C"/>
    <w:rsid w:val="005E06D3"/>
    <w:rsid w:val="005E27C0"/>
    <w:rsid w:val="005E4F1C"/>
    <w:rsid w:val="005F097D"/>
    <w:rsid w:val="005F1004"/>
    <w:rsid w:val="005F174C"/>
    <w:rsid w:val="005F1FAE"/>
    <w:rsid w:val="005F35D0"/>
    <w:rsid w:val="005F42AD"/>
    <w:rsid w:val="005F507D"/>
    <w:rsid w:val="005F56A6"/>
    <w:rsid w:val="005F6041"/>
    <w:rsid w:val="005F797B"/>
    <w:rsid w:val="005F7E99"/>
    <w:rsid w:val="00600492"/>
    <w:rsid w:val="00601081"/>
    <w:rsid w:val="006012C6"/>
    <w:rsid w:val="00603239"/>
    <w:rsid w:val="006040B4"/>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F89"/>
    <w:rsid w:val="006357BD"/>
    <w:rsid w:val="006408DC"/>
    <w:rsid w:val="006413AD"/>
    <w:rsid w:val="006422C6"/>
    <w:rsid w:val="00643A7A"/>
    <w:rsid w:val="0064545A"/>
    <w:rsid w:val="00647D0B"/>
    <w:rsid w:val="006503F8"/>
    <w:rsid w:val="00650D0F"/>
    <w:rsid w:val="00651856"/>
    <w:rsid w:val="006521E7"/>
    <w:rsid w:val="0065579F"/>
    <w:rsid w:val="00667099"/>
    <w:rsid w:val="0066737C"/>
    <w:rsid w:val="00670351"/>
    <w:rsid w:val="006706AA"/>
    <w:rsid w:val="006718B7"/>
    <w:rsid w:val="00673154"/>
    <w:rsid w:val="00673A1F"/>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B0BCD"/>
    <w:rsid w:val="006B0CBE"/>
    <w:rsid w:val="006B1969"/>
    <w:rsid w:val="006B2F1E"/>
    <w:rsid w:val="006B3DD7"/>
    <w:rsid w:val="006B48F1"/>
    <w:rsid w:val="006C200E"/>
    <w:rsid w:val="006C2D21"/>
    <w:rsid w:val="006C60A2"/>
    <w:rsid w:val="006C6193"/>
    <w:rsid w:val="006D3223"/>
    <w:rsid w:val="006D4BBE"/>
    <w:rsid w:val="006D5430"/>
    <w:rsid w:val="006D63EF"/>
    <w:rsid w:val="006D7CA8"/>
    <w:rsid w:val="006E1EE7"/>
    <w:rsid w:val="006E2FE4"/>
    <w:rsid w:val="006E36C6"/>
    <w:rsid w:val="006E3B73"/>
    <w:rsid w:val="006E4CAF"/>
    <w:rsid w:val="006E7570"/>
    <w:rsid w:val="006F0E6F"/>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FA1"/>
    <w:rsid w:val="00707E83"/>
    <w:rsid w:val="00711E45"/>
    <w:rsid w:val="00713731"/>
    <w:rsid w:val="007165BE"/>
    <w:rsid w:val="007200FA"/>
    <w:rsid w:val="0072163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C49"/>
    <w:rsid w:val="007621D5"/>
    <w:rsid w:val="007626A2"/>
    <w:rsid w:val="007651F0"/>
    <w:rsid w:val="00765D32"/>
    <w:rsid w:val="007705A1"/>
    <w:rsid w:val="00770F43"/>
    <w:rsid w:val="00771468"/>
    <w:rsid w:val="007719AC"/>
    <w:rsid w:val="0077202D"/>
    <w:rsid w:val="00772393"/>
    <w:rsid w:val="00773686"/>
    <w:rsid w:val="00774E75"/>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D0E38"/>
    <w:rsid w:val="007D2587"/>
    <w:rsid w:val="007D34C8"/>
    <w:rsid w:val="007D36F2"/>
    <w:rsid w:val="007D5A25"/>
    <w:rsid w:val="007E0E51"/>
    <w:rsid w:val="007E0F24"/>
    <w:rsid w:val="007E17B1"/>
    <w:rsid w:val="007E27C0"/>
    <w:rsid w:val="007E3C82"/>
    <w:rsid w:val="007E4716"/>
    <w:rsid w:val="007E5110"/>
    <w:rsid w:val="007E6E32"/>
    <w:rsid w:val="007E771D"/>
    <w:rsid w:val="007F3DA7"/>
    <w:rsid w:val="007F4203"/>
    <w:rsid w:val="007F4290"/>
    <w:rsid w:val="007F502E"/>
    <w:rsid w:val="007F65F6"/>
    <w:rsid w:val="007F6A42"/>
    <w:rsid w:val="008013CA"/>
    <w:rsid w:val="00802E86"/>
    <w:rsid w:val="008056CF"/>
    <w:rsid w:val="00806C7C"/>
    <w:rsid w:val="0080728E"/>
    <w:rsid w:val="00812EF1"/>
    <w:rsid w:val="00814945"/>
    <w:rsid w:val="00814985"/>
    <w:rsid w:val="008160BF"/>
    <w:rsid w:val="00816F96"/>
    <w:rsid w:val="008175D4"/>
    <w:rsid w:val="00822C19"/>
    <w:rsid w:val="00823AF8"/>
    <w:rsid w:val="00832ADC"/>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D17"/>
    <w:rsid w:val="008719DB"/>
    <w:rsid w:val="00872250"/>
    <w:rsid w:val="008731B8"/>
    <w:rsid w:val="0087381D"/>
    <w:rsid w:val="00873D16"/>
    <w:rsid w:val="00875049"/>
    <w:rsid w:val="00875CB9"/>
    <w:rsid w:val="00875F0E"/>
    <w:rsid w:val="00880F6C"/>
    <w:rsid w:val="008855E2"/>
    <w:rsid w:val="00886521"/>
    <w:rsid w:val="00887886"/>
    <w:rsid w:val="008937A3"/>
    <w:rsid w:val="00894705"/>
    <w:rsid w:val="0089509A"/>
    <w:rsid w:val="008A2A33"/>
    <w:rsid w:val="008A4FE1"/>
    <w:rsid w:val="008A5E28"/>
    <w:rsid w:val="008A64DE"/>
    <w:rsid w:val="008B3CA8"/>
    <w:rsid w:val="008B4198"/>
    <w:rsid w:val="008B4609"/>
    <w:rsid w:val="008B725C"/>
    <w:rsid w:val="008C1D6D"/>
    <w:rsid w:val="008C2184"/>
    <w:rsid w:val="008C3F98"/>
    <w:rsid w:val="008D1DAC"/>
    <w:rsid w:val="008D23AF"/>
    <w:rsid w:val="008D32BF"/>
    <w:rsid w:val="008D3A05"/>
    <w:rsid w:val="008D681A"/>
    <w:rsid w:val="008D6B1A"/>
    <w:rsid w:val="008D6D38"/>
    <w:rsid w:val="008D7383"/>
    <w:rsid w:val="008D789C"/>
    <w:rsid w:val="008E00BE"/>
    <w:rsid w:val="008E0617"/>
    <w:rsid w:val="008E0C64"/>
    <w:rsid w:val="008E1801"/>
    <w:rsid w:val="008E5313"/>
    <w:rsid w:val="008E5B71"/>
    <w:rsid w:val="008E646E"/>
    <w:rsid w:val="008E705E"/>
    <w:rsid w:val="008F2453"/>
    <w:rsid w:val="008F34E9"/>
    <w:rsid w:val="00901D0C"/>
    <w:rsid w:val="00902740"/>
    <w:rsid w:val="00902833"/>
    <w:rsid w:val="00902C4E"/>
    <w:rsid w:val="009039E2"/>
    <w:rsid w:val="00905D5B"/>
    <w:rsid w:val="00906BB5"/>
    <w:rsid w:val="0091196A"/>
    <w:rsid w:val="00911DC9"/>
    <w:rsid w:val="009123FF"/>
    <w:rsid w:val="00912D8F"/>
    <w:rsid w:val="009164CD"/>
    <w:rsid w:val="00917271"/>
    <w:rsid w:val="00922A9F"/>
    <w:rsid w:val="00925478"/>
    <w:rsid w:val="00925A8F"/>
    <w:rsid w:val="00925D8E"/>
    <w:rsid w:val="009269F5"/>
    <w:rsid w:val="00930CAD"/>
    <w:rsid w:val="0093324D"/>
    <w:rsid w:val="009400CF"/>
    <w:rsid w:val="00940533"/>
    <w:rsid w:val="00941097"/>
    <w:rsid w:val="00942498"/>
    <w:rsid w:val="00942B78"/>
    <w:rsid w:val="009432FE"/>
    <w:rsid w:val="009438F8"/>
    <w:rsid w:val="00944414"/>
    <w:rsid w:val="0094691D"/>
    <w:rsid w:val="00953948"/>
    <w:rsid w:val="00953CF1"/>
    <w:rsid w:val="00954F42"/>
    <w:rsid w:val="00957172"/>
    <w:rsid w:val="009578D1"/>
    <w:rsid w:val="00957A33"/>
    <w:rsid w:val="00957B43"/>
    <w:rsid w:val="0096003B"/>
    <w:rsid w:val="0096081E"/>
    <w:rsid w:val="0096137E"/>
    <w:rsid w:val="00961E12"/>
    <w:rsid w:val="00961E92"/>
    <w:rsid w:val="00962455"/>
    <w:rsid w:val="009647C5"/>
    <w:rsid w:val="0096604F"/>
    <w:rsid w:val="00966280"/>
    <w:rsid w:val="009663C5"/>
    <w:rsid w:val="009700D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2086"/>
    <w:rsid w:val="009C3006"/>
    <w:rsid w:val="009D159F"/>
    <w:rsid w:val="009D1912"/>
    <w:rsid w:val="009D1A92"/>
    <w:rsid w:val="009D2A16"/>
    <w:rsid w:val="009D344B"/>
    <w:rsid w:val="009D6952"/>
    <w:rsid w:val="009E068F"/>
    <w:rsid w:val="009E1B89"/>
    <w:rsid w:val="009E3971"/>
    <w:rsid w:val="009E47B7"/>
    <w:rsid w:val="009E619C"/>
    <w:rsid w:val="009E7020"/>
    <w:rsid w:val="009E7045"/>
    <w:rsid w:val="009E748B"/>
    <w:rsid w:val="009E78AF"/>
    <w:rsid w:val="009F0307"/>
    <w:rsid w:val="009F2244"/>
    <w:rsid w:val="009F3808"/>
    <w:rsid w:val="009F3D12"/>
    <w:rsid w:val="009F5FBC"/>
    <w:rsid w:val="009F6383"/>
    <w:rsid w:val="00A00E96"/>
    <w:rsid w:val="00A03D3F"/>
    <w:rsid w:val="00A049AC"/>
    <w:rsid w:val="00A04BEB"/>
    <w:rsid w:val="00A04DE2"/>
    <w:rsid w:val="00A07E9D"/>
    <w:rsid w:val="00A1110B"/>
    <w:rsid w:val="00A11A20"/>
    <w:rsid w:val="00A11DFB"/>
    <w:rsid w:val="00A11F1E"/>
    <w:rsid w:val="00A13D2A"/>
    <w:rsid w:val="00A14BA5"/>
    <w:rsid w:val="00A15C80"/>
    <w:rsid w:val="00A15DA4"/>
    <w:rsid w:val="00A20607"/>
    <w:rsid w:val="00A20D0F"/>
    <w:rsid w:val="00A22250"/>
    <w:rsid w:val="00A2486B"/>
    <w:rsid w:val="00A25160"/>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42B8"/>
    <w:rsid w:val="00A54719"/>
    <w:rsid w:val="00A60995"/>
    <w:rsid w:val="00A612B9"/>
    <w:rsid w:val="00A66B14"/>
    <w:rsid w:val="00A66CF8"/>
    <w:rsid w:val="00A70A9A"/>
    <w:rsid w:val="00A727DA"/>
    <w:rsid w:val="00A7488B"/>
    <w:rsid w:val="00A7493E"/>
    <w:rsid w:val="00A74F48"/>
    <w:rsid w:val="00A81A3A"/>
    <w:rsid w:val="00A82E50"/>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5D0F"/>
    <w:rsid w:val="00AA6892"/>
    <w:rsid w:val="00AA6C76"/>
    <w:rsid w:val="00AB049C"/>
    <w:rsid w:val="00AB1D7B"/>
    <w:rsid w:val="00AB1EA3"/>
    <w:rsid w:val="00AB3399"/>
    <w:rsid w:val="00AB3D67"/>
    <w:rsid w:val="00AC315A"/>
    <w:rsid w:val="00AC34C5"/>
    <w:rsid w:val="00AC4276"/>
    <w:rsid w:val="00AC464D"/>
    <w:rsid w:val="00AC503E"/>
    <w:rsid w:val="00AC51E8"/>
    <w:rsid w:val="00AC60CF"/>
    <w:rsid w:val="00AC60FB"/>
    <w:rsid w:val="00AD048E"/>
    <w:rsid w:val="00AD0CA9"/>
    <w:rsid w:val="00AD16D6"/>
    <w:rsid w:val="00AD2407"/>
    <w:rsid w:val="00AD48D4"/>
    <w:rsid w:val="00AD4DB6"/>
    <w:rsid w:val="00AD62D8"/>
    <w:rsid w:val="00AD6E05"/>
    <w:rsid w:val="00AE017E"/>
    <w:rsid w:val="00AE104B"/>
    <w:rsid w:val="00AE49C2"/>
    <w:rsid w:val="00AE5146"/>
    <w:rsid w:val="00AE55C5"/>
    <w:rsid w:val="00AE5A4F"/>
    <w:rsid w:val="00AE7B16"/>
    <w:rsid w:val="00AE7DE7"/>
    <w:rsid w:val="00AF0B65"/>
    <w:rsid w:val="00AF0F18"/>
    <w:rsid w:val="00AF7EEF"/>
    <w:rsid w:val="00B002E0"/>
    <w:rsid w:val="00B0053F"/>
    <w:rsid w:val="00B0132A"/>
    <w:rsid w:val="00B029C1"/>
    <w:rsid w:val="00B042F9"/>
    <w:rsid w:val="00B07968"/>
    <w:rsid w:val="00B07B19"/>
    <w:rsid w:val="00B10FBA"/>
    <w:rsid w:val="00B12666"/>
    <w:rsid w:val="00B126DA"/>
    <w:rsid w:val="00B14DB6"/>
    <w:rsid w:val="00B15903"/>
    <w:rsid w:val="00B166C8"/>
    <w:rsid w:val="00B230AB"/>
    <w:rsid w:val="00B23604"/>
    <w:rsid w:val="00B236B2"/>
    <w:rsid w:val="00B2566A"/>
    <w:rsid w:val="00B26E87"/>
    <w:rsid w:val="00B35581"/>
    <w:rsid w:val="00B36258"/>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96F"/>
    <w:rsid w:val="00B745A3"/>
    <w:rsid w:val="00B82234"/>
    <w:rsid w:val="00B8283E"/>
    <w:rsid w:val="00B837AA"/>
    <w:rsid w:val="00B848C7"/>
    <w:rsid w:val="00B86E93"/>
    <w:rsid w:val="00B87D03"/>
    <w:rsid w:val="00B909E8"/>
    <w:rsid w:val="00B91B6A"/>
    <w:rsid w:val="00B9232C"/>
    <w:rsid w:val="00B928EE"/>
    <w:rsid w:val="00B92AD5"/>
    <w:rsid w:val="00B94BA4"/>
    <w:rsid w:val="00B97DB5"/>
    <w:rsid w:val="00BA0E02"/>
    <w:rsid w:val="00BA4762"/>
    <w:rsid w:val="00BB156E"/>
    <w:rsid w:val="00BB1734"/>
    <w:rsid w:val="00BB2186"/>
    <w:rsid w:val="00BB3ABA"/>
    <w:rsid w:val="00BB4896"/>
    <w:rsid w:val="00BB4FEC"/>
    <w:rsid w:val="00BB613E"/>
    <w:rsid w:val="00BB65B1"/>
    <w:rsid w:val="00BB69D5"/>
    <w:rsid w:val="00BB73DF"/>
    <w:rsid w:val="00BC03E1"/>
    <w:rsid w:val="00BC2983"/>
    <w:rsid w:val="00BC3757"/>
    <w:rsid w:val="00BC4593"/>
    <w:rsid w:val="00BD05BF"/>
    <w:rsid w:val="00BD464A"/>
    <w:rsid w:val="00BD639A"/>
    <w:rsid w:val="00BD6CFB"/>
    <w:rsid w:val="00BE1E03"/>
    <w:rsid w:val="00BE2902"/>
    <w:rsid w:val="00BE42CB"/>
    <w:rsid w:val="00BE6162"/>
    <w:rsid w:val="00BE6C9C"/>
    <w:rsid w:val="00BE751E"/>
    <w:rsid w:val="00BF37B7"/>
    <w:rsid w:val="00BF5C82"/>
    <w:rsid w:val="00BF77C4"/>
    <w:rsid w:val="00BF7A5E"/>
    <w:rsid w:val="00C0085D"/>
    <w:rsid w:val="00C00E47"/>
    <w:rsid w:val="00C010AA"/>
    <w:rsid w:val="00C013EF"/>
    <w:rsid w:val="00C04F9C"/>
    <w:rsid w:val="00C11D21"/>
    <w:rsid w:val="00C11EFC"/>
    <w:rsid w:val="00C1675F"/>
    <w:rsid w:val="00C16C29"/>
    <w:rsid w:val="00C21F2D"/>
    <w:rsid w:val="00C22DD1"/>
    <w:rsid w:val="00C23438"/>
    <w:rsid w:val="00C23439"/>
    <w:rsid w:val="00C24BB6"/>
    <w:rsid w:val="00C27213"/>
    <w:rsid w:val="00C278C2"/>
    <w:rsid w:val="00C32425"/>
    <w:rsid w:val="00C33DEA"/>
    <w:rsid w:val="00C34B78"/>
    <w:rsid w:val="00C353D0"/>
    <w:rsid w:val="00C35AE1"/>
    <w:rsid w:val="00C41E55"/>
    <w:rsid w:val="00C4248D"/>
    <w:rsid w:val="00C43809"/>
    <w:rsid w:val="00C445E2"/>
    <w:rsid w:val="00C45167"/>
    <w:rsid w:val="00C45E02"/>
    <w:rsid w:val="00C473CE"/>
    <w:rsid w:val="00C50168"/>
    <w:rsid w:val="00C5180C"/>
    <w:rsid w:val="00C52111"/>
    <w:rsid w:val="00C523E4"/>
    <w:rsid w:val="00C53622"/>
    <w:rsid w:val="00C543BC"/>
    <w:rsid w:val="00C54982"/>
    <w:rsid w:val="00C54B46"/>
    <w:rsid w:val="00C54BD6"/>
    <w:rsid w:val="00C55B71"/>
    <w:rsid w:val="00C621A1"/>
    <w:rsid w:val="00C630B7"/>
    <w:rsid w:val="00C63153"/>
    <w:rsid w:val="00C63CB8"/>
    <w:rsid w:val="00C65327"/>
    <w:rsid w:val="00C65838"/>
    <w:rsid w:val="00C6673E"/>
    <w:rsid w:val="00C67382"/>
    <w:rsid w:val="00C72471"/>
    <w:rsid w:val="00C8086B"/>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C10DA"/>
    <w:rsid w:val="00CD1B67"/>
    <w:rsid w:val="00CD229F"/>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1306"/>
    <w:rsid w:val="00D2151A"/>
    <w:rsid w:val="00D22151"/>
    <w:rsid w:val="00D22AF0"/>
    <w:rsid w:val="00D25CA2"/>
    <w:rsid w:val="00D26BCB"/>
    <w:rsid w:val="00D275C6"/>
    <w:rsid w:val="00D27639"/>
    <w:rsid w:val="00D41A51"/>
    <w:rsid w:val="00D42DFD"/>
    <w:rsid w:val="00D45E14"/>
    <w:rsid w:val="00D4755C"/>
    <w:rsid w:val="00D47707"/>
    <w:rsid w:val="00D52834"/>
    <w:rsid w:val="00D544FE"/>
    <w:rsid w:val="00D5596F"/>
    <w:rsid w:val="00D56F3F"/>
    <w:rsid w:val="00D57733"/>
    <w:rsid w:val="00D601F1"/>
    <w:rsid w:val="00D61F13"/>
    <w:rsid w:val="00D650A7"/>
    <w:rsid w:val="00D672D6"/>
    <w:rsid w:val="00D67D4A"/>
    <w:rsid w:val="00D7096D"/>
    <w:rsid w:val="00D70B9D"/>
    <w:rsid w:val="00D72B46"/>
    <w:rsid w:val="00D75D2E"/>
    <w:rsid w:val="00D766D5"/>
    <w:rsid w:val="00D806A3"/>
    <w:rsid w:val="00D81232"/>
    <w:rsid w:val="00D81BAC"/>
    <w:rsid w:val="00D83149"/>
    <w:rsid w:val="00D83173"/>
    <w:rsid w:val="00D8380A"/>
    <w:rsid w:val="00D85273"/>
    <w:rsid w:val="00D90CC5"/>
    <w:rsid w:val="00D92C6A"/>
    <w:rsid w:val="00D963A6"/>
    <w:rsid w:val="00DA12AB"/>
    <w:rsid w:val="00DB3689"/>
    <w:rsid w:val="00DB3767"/>
    <w:rsid w:val="00DB39E0"/>
    <w:rsid w:val="00DB70B4"/>
    <w:rsid w:val="00DC181B"/>
    <w:rsid w:val="00DC1B28"/>
    <w:rsid w:val="00DC22BE"/>
    <w:rsid w:val="00DC5F62"/>
    <w:rsid w:val="00DC6B68"/>
    <w:rsid w:val="00DC75A8"/>
    <w:rsid w:val="00DC7FAF"/>
    <w:rsid w:val="00DD02BA"/>
    <w:rsid w:val="00DD100B"/>
    <w:rsid w:val="00DD42F9"/>
    <w:rsid w:val="00DE1B4A"/>
    <w:rsid w:val="00DE2611"/>
    <w:rsid w:val="00DE2CFF"/>
    <w:rsid w:val="00DE3330"/>
    <w:rsid w:val="00DE5939"/>
    <w:rsid w:val="00DE7746"/>
    <w:rsid w:val="00DE7AA4"/>
    <w:rsid w:val="00DF1C50"/>
    <w:rsid w:val="00DF4490"/>
    <w:rsid w:val="00DF4CBC"/>
    <w:rsid w:val="00DF5370"/>
    <w:rsid w:val="00E0032E"/>
    <w:rsid w:val="00E004AF"/>
    <w:rsid w:val="00E0205D"/>
    <w:rsid w:val="00E02BE9"/>
    <w:rsid w:val="00E03C46"/>
    <w:rsid w:val="00E06DE8"/>
    <w:rsid w:val="00E1018A"/>
    <w:rsid w:val="00E10707"/>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1EE1"/>
    <w:rsid w:val="00E521EE"/>
    <w:rsid w:val="00E55E2E"/>
    <w:rsid w:val="00E60A9D"/>
    <w:rsid w:val="00E62790"/>
    <w:rsid w:val="00E62B3D"/>
    <w:rsid w:val="00E6315A"/>
    <w:rsid w:val="00E64C50"/>
    <w:rsid w:val="00E65E86"/>
    <w:rsid w:val="00E71B00"/>
    <w:rsid w:val="00E733FF"/>
    <w:rsid w:val="00E73C7F"/>
    <w:rsid w:val="00E740D9"/>
    <w:rsid w:val="00E8224F"/>
    <w:rsid w:val="00E83BFC"/>
    <w:rsid w:val="00E853FB"/>
    <w:rsid w:val="00E85E3C"/>
    <w:rsid w:val="00E87574"/>
    <w:rsid w:val="00E943EE"/>
    <w:rsid w:val="00E96534"/>
    <w:rsid w:val="00E9760C"/>
    <w:rsid w:val="00EA0385"/>
    <w:rsid w:val="00EA3791"/>
    <w:rsid w:val="00EA4D0C"/>
    <w:rsid w:val="00EA4E53"/>
    <w:rsid w:val="00EA6259"/>
    <w:rsid w:val="00EA63A0"/>
    <w:rsid w:val="00EA7720"/>
    <w:rsid w:val="00EA7F21"/>
    <w:rsid w:val="00EB1663"/>
    <w:rsid w:val="00EB1DF8"/>
    <w:rsid w:val="00EB22E0"/>
    <w:rsid w:val="00EB4324"/>
    <w:rsid w:val="00EB6B41"/>
    <w:rsid w:val="00EC0950"/>
    <w:rsid w:val="00EC1D1E"/>
    <w:rsid w:val="00EC1D6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47B3"/>
    <w:rsid w:val="00EE5769"/>
    <w:rsid w:val="00EE5CA6"/>
    <w:rsid w:val="00EE6916"/>
    <w:rsid w:val="00EF1335"/>
    <w:rsid w:val="00EF1557"/>
    <w:rsid w:val="00EF1D24"/>
    <w:rsid w:val="00EF4836"/>
    <w:rsid w:val="00EF4AE0"/>
    <w:rsid w:val="00EF6FA1"/>
    <w:rsid w:val="00F012FF"/>
    <w:rsid w:val="00F01A21"/>
    <w:rsid w:val="00F046E9"/>
    <w:rsid w:val="00F04831"/>
    <w:rsid w:val="00F06E0E"/>
    <w:rsid w:val="00F07AA2"/>
    <w:rsid w:val="00F12DA8"/>
    <w:rsid w:val="00F1322B"/>
    <w:rsid w:val="00F13699"/>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A193F"/>
    <w:rsid w:val="00FA34B5"/>
    <w:rsid w:val="00FA6476"/>
    <w:rsid w:val="00FB0158"/>
    <w:rsid w:val="00FB16BC"/>
    <w:rsid w:val="00FB25A0"/>
    <w:rsid w:val="00FB2D7C"/>
    <w:rsid w:val="00FB3195"/>
    <w:rsid w:val="00FB4F37"/>
    <w:rsid w:val="00FB79F1"/>
    <w:rsid w:val="00FB7E5A"/>
    <w:rsid w:val="00FC25AB"/>
    <w:rsid w:val="00FC3544"/>
    <w:rsid w:val="00FC6E54"/>
    <w:rsid w:val="00FD33A2"/>
    <w:rsid w:val="00FD6206"/>
    <w:rsid w:val="00FD62DD"/>
    <w:rsid w:val="00FD7126"/>
    <w:rsid w:val="00FE09E7"/>
    <w:rsid w:val="00FE2161"/>
    <w:rsid w:val="00FE4C69"/>
    <w:rsid w:val="00FE54F3"/>
    <w:rsid w:val="00FE58B6"/>
    <w:rsid w:val="00FE7430"/>
    <w:rsid w:val="00FE791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DDDFA10B-070C-4563-9C2A-92AA897E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B6"/>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29DF52-CB6A-445A-8410-B41635DD5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3923</TotalTime>
  <Pages>3</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17</cp:revision>
  <cp:lastPrinted>2113-01-01T00:00:00Z</cp:lastPrinted>
  <dcterms:created xsi:type="dcterms:W3CDTF">2017-09-06T12:59:00Z</dcterms:created>
  <dcterms:modified xsi:type="dcterms:W3CDTF">2019-08-15T16:48:00Z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